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center"/>
        <w:rPr>
          <w:rFonts w:hint="default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招标要求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运营方式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提供的设备应与场地整体装修风格相匹配。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支付方式不少于两种，需支持微信、支付宝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共享充电宝收费标准不得高于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元/小时，20元当日封顶。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满足市面上所有手机充电口需求（安卓/苹果/type-C接口）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共享充电宝设备在指定点位安装，不能超过指定范围，当院方对某点位有特殊用途，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需无条件服从调整安排。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运营期间设备的维护、系统升级、故障排除、破损设备更换等由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负责。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因设备故障、设备质量问题、使用者隐私泄露等引起的投诉纠纷或赔偿由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全权负责。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（7）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承诺拥有设备及其宣传资料的商标权、著作权、专利权或其它合法权益，若因此造成与任意第三方产生权属纠纷的，责任由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承担。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8）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共享充电宝机器进行维护及保养。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9）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提供服务的充电宝质量符合国家标准，如出现纠纷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自行解决并承担相应责任。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line="240" w:lineRule="auto"/>
        <w:ind w:leftChars="0" w:firstLine="544" w:firstLineChars="200"/>
        <w:jc w:val="both"/>
        <w:outlineLvl w:val="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项目实施地点为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健达医疗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指定地点。</w:t>
      </w:r>
    </w:p>
    <w:p>
      <w:pPr>
        <w:pStyle w:val="3"/>
        <w:numPr>
          <w:ilvl w:val="0"/>
          <w:numId w:val="0"/>
        </w:numPr>
        <w:spacing w:line="240" w:lineRule="auto"/>
        <w:jc w:val="left"/>
        <w:outlineLvl w:val="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二、服务要求</w:t>
      </w:r>
    </w:p>
    <w:p>
      <w:pPr>
        <w:pStyle w:val="3"/>
        <w:numPr>
          <w:ilvl w:val="0"/>
          <w:numId w:val="0"/>
        </w:numPr>
        <w:spacing w:line="240" w:lineRule="auto"/>
        <w:ind w:firstLine="544" w:firstLineChars="200"/>
        <w:jc w:val="left"/>
        <w:outlineLvl w:val="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1、提供履行合同必需的设备和充电宝质检合格证明。</w:t>
      </w:r>
    </w:p>
    <w:p>
      <w:pPr>
        <w:pStyle w:val="3"/>
        <w:numPr>
          <w:ilvl w:val="0"/>
          <w:numId w:val="0"/>
        </w:numPr>
        <w:spacing w:line="240" w:lineRule="auto"/>
        <w:ind w:firstLine="544" w:firstLineChars="200"/>
        <w:jc w:val="left"/>
        <w:outlineLvl w:val="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2、服务响应时间：接到通知后2小时内到达现场处理。</w:t>
      </w:r>
    </w:p>
    <w:p>
      <w:pPr>
        <w:pStyle w:val="3"/>
        <w:numPr>
          <w:ilvl w:val="0"/>
          <w:numId w:val="0"/>
        </w:numPr>
        <w:spacing w:line="240" w:lineRule="auto"/>
        <w:ind w:firstLine="544" w:firstLineChars="200"/>
        <w:jc w:val="left"/>
        <w:outlineLvl w:val="0"/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3、提供有效的产品商业保险，若因设备及充电宝相关产品原因造成的人身或财产伤害，均由中标公司承担全部责任及赔偿损失。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DE0F"/>
    <w:multiLevelType w:val="singleLevel"/>
    <w:tmpl w:val="513BDE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TNlMzc1MDYwYmI2Mzg5MDYxMWRiYWQxOGY0ODEifQ=="/>
  </w:docVars>
  <w:rsids>
    <w:rsidRoot w:val="320362E7"/>
    <w:rsid w:val="08827AAF"/>
    <w:rsid w:val="0BE21BBC"/>
    <w:rsid w:val="2233399E"/>
    <w:rsid w:val="259513FB"/>
    <w:rsid w:val="26173AD7"/>
    <w:rsid w:val="320362E7"/>
    <w:rsid w:val="34EE15C3"/>
    <w:rsid w:val="4962786F"/>
    <w:rsid w:val="619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4">
    <w:name w:val="Plain Text"/>
    <w:basedOn w:val="1"/>
    <w:next w:val="5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customStyle="1" w:styleId="5">
    <w:name w:val="目录 62"/>
    <w:next w:val="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4172</Words>
  <Characters>4284</Characters>
  <Lines>0</Lines>
  <Paragraphs>0</Paragraphs>
  <TotalTime>11</TotalTime>
  <ScaleCrop>false</ScaleCrop>
  <LinksUpToDate>false</LinksUpToDate>
  <CharactersWithSpaces>4404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2023-04-25T01:44:00Z</dcterms:created>
  <dc:creator>逍遥子</dc:creator>
  <cp:lastModifiedBy>Administrator</cp:lastModifiedBy>
  <dcterms:modified xsi:type="dcterms:W3CDTF">2023-05-12T08:14:35Z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78072297340C4C8AB25E5B646DCF5245_13</vt:lpwstr>
  </property>
</Properties>
</file>