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61C0B3">
      <w:pPr>
        <w:rPr>
          <w:rFonts w:hint="default" w:ascii="宋体" w:hAnsi="宋体" w:cs="Calibri" w:eastAsiaTheme="minorEastAsia"/>
          <w:b/>
          <w:bCs/>
          <w:color w:val="000000"/>
          <w:sz w:val="21"/>
          <w:szCs w:val="21"/>
          <w:lang w:val="en-US" w:eastAsia="zh-CN"/>
        </w:rPr>
      </w:pPr>
      <w:r>
        <w:rPr>
          <w:rFonts w:hint="eastAsia"/>
          <w:b/>
          <w:sz w:val="21"/>
          <w:szCs w:val="21"/>
          <w:lang w:val="en-US" w:eastAsia="zh-CN"/>
        </w:rPr>
        <w:t>标段一：</w:t>
      </w:r>
      <w:r>
        <w:rPr>
          <w:rFonts w:hint="eastAsia"/>
          <w:b/>
          <w:sz w:val="21"/>
          <w:szCs w:val="21"/>
        </w:rPr>
        <w:t>超融</w:t>
      </w:r>
      <w:bookmarkStart w:id="6" w:name="_GoBack"/>
      <w:bookmarkEnd w:id="6"/>
      <w:r>
        <w:rPr>
          <w:rFonts w:hint="eastAsia"/>
          <w:b/>
          <w:sz w:val="21"/>
          <w:szCs w:val="21"/>
        </w:rPr>
        <w:t>合服务器</w:t>
      </w:r>
      <w:r>
        <w:rPr>
          <w:rFonts w:hint="eastAsia"/>
          <w:b/>
          <w:sz w:val="21"/>
          <w:szCs w:val="21"/>
          <w:lang w:val="en-US" w:eastAsia="zh-CN"/>
        </w:rPr>
        <w:t>一套</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5"/>
        <w:gridCol w:w="2231"/>
        <w:gridCol w:w="4525"/>
        <w:gridCol w:w="991"/>
      </w:tblGrid>
      <w:tr w14:paraId="44BFD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775" w:type="dxa"/>
          </w:tcPr>
          <w:p w14:paraId="1A822A58">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序号</w:t>
            </w:r>
          </w:p>
        </w:tc>
        <w:tc>
          <w:tcPr>
            <w:tcW w:w="2231" w:type="dxa"/>
          </w:tcPr>
          <w:p w14:paraId="53748A3D">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设备类型</w:t>
            </w:r>
          </w:p>
        </w:tc>
        <w:tc>
          <w:tcPr>
            <w:tcW w:w="4525" w:type="dxa"/>
          </w:tcPr>
          <w:p w14:paraId="42B2278E">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配置参数</w:t>
            </w:r>
          </w:p>
        </w:tc>
        <w:tc>
          <w:tcPr>
            <w:tcW w:w="991" w:type="dxa"/>
          </w:tcPr>
          <w:p w14:paraId="22AD3FF0">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数量</w:t>
            </w:r>
          </w:p>
        </w:tc>
      </w:tr>
      <w:tr w14:paraId="56500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tcPr>
          <w:p w14:paraId="4EE4E64C">
            <w:pPr>
              <w:jc w:val="center"/>
              <w:rPr>
                <w:rFonts w:ascii="宋体" w:hAnsi="宋体" w:eastAsia="宋体" w:cs="Calibri"/>
                <w:color w:val="000000"/>
                <w:szCs w:val="21"/>
              </w:rPr>
            </w:pPr>
            <w:r>
              <w:rPr>
                <w:rFonts w:hint="eastAsia" w:ascii="宋体" w:hAnsi="宋体" w:eastAsia="宋体" w:cs="Calibri"/>
                <w:color w:val="000000"/>
                <w:szCs w:val="21"/>
              </w:rPr>
              <w:t>1</w:t>
            </w:r>
          </w:p>
        </w:tc>
        <w:tc>
          <w:tcPr>
            <w:tcW w:w="2231" w:type="dxa"/>
          </w:tcPr>
          <w:p w14:paraId="58F8E8D1">
            <w:pPr>
              <w:rPr>
                <w:rFonts w:ascii="宋体" w:hAnsi="宋体" w:eastAsia="宋体" w:cs="Calibri"/>
                <w:color w:val="000000"/>
                <w:szCs w:val="21"/>
              </w:rPr>
            </w:pPr>
            <w:r>
              <w:rPr>
                <w:rFonts w:hint="eastAsia" w:ascii="宋体" w:hAnsi="宋体" w:eastAsia="宋体" w:cs="Calibri"/>
                <w:color w:val="000000"/>
                <w:szCs w:val="21"/>
              </w:rPr>
              <w:t>超融合服务器</w:t>
            </w:r>
          </w:p>
        </w:tc>
        <w:tc>
          <w:tcPr>
            <w:tcW w:w="4525" w:type="dxa"/>
          </w:tcPr>
          <w:p w14:paraId="4A2ADCF5">
            <w:pPr>
              <w:rPr>
                <w:rFonts w:ascii="宋体" w:hAnsi="宋体" w:eastAsia="宋体" w:cs="Calibri"/>
                <w:color w:val="000000"/>
                <w:szCs w:val="21"/>
              </w:rPr>
            </w:pPr>
            <w:r>
              <w:rPr>
                <w:rFonts w:hint="eastAsia" w:ascii="宋体" w:hAnsi="宋体" w:eastAsia="宋体" w:cs="Calibri"/>
                <w:color w:val="000000"/>
                <w:szCs w:val="21"/>
              </w:rPr>
              <w:t>配置4个节点</w:t>
            </w:r>
          </w:p>
        </w:tc>
        <w:tc>
          <w:tcPr>
            <w:tcW w:w="991" w:type="dxa"/>
          </w:tcPr>
          <w:p w14:paraId="0067CF6E">
            <w:pPr>
              <w:jc w:val="center"/>
              <w:rPr>
                <w:rFonts w:ascii="宋体" w:hAnsi="宋体" w:eastAsia="宋体" w:cs="Calibri"/>
                <w:color w:val="000000"/>
                <w:szCs w:val="21"/>
              </w:rPr>
            </w:pPr>
            <w:r>
              <w:rPr>
                <w:rFonts w:hint="eastAsia" w:ascii="宋体" w:hAnsi="宋体" w:eastAsia="宋体" w:cs="Calibri"/>
                <w:color w:val="000000"/>
                <w:szCs w:val="21"/>
              </w:rPr>
              <w:t>1套</w:t>
            </w:r>
          </w:p>
        </w:tc>
      </w:tr>
      <w:tr w14:paraId="2EF31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6" w:type="dxa"/>
            <w:gridSpan w:val="2"/>
          </w:tcPr>
          <w:p w14:paraId="569A43BB">
            <w:pPr>
              <w:jc w:val="center"/>
              <w:rPr>
                <w:rFonts w:ascii="宋体" w:hAnsi="宋体" w:eastAsia="宋体" w:cs="Calibri"/>
                <w:color w:val="000000"/>
                <w:szCs w:val="21"/>
              </w:rPr>
            </w:pPr>
            <w:r>
              <w:rPr>
                <w:rFonts w:hint="eastAsia" w:ascii="宋体" w:hAnsi="宋体" w:eastAsia="宋体" w:cs="Calibri"/>
                <w:color w:val="000000"/>
                <w:szCs w:val="21"/>
              </w:rPr>
              <w:t>预算</w:t>
            </w:r>
          </w:p>
        </w:tc>
        <w:tc>
          <w:tcPr>
            <w:tcW w:w="5516" w:type="dxa"/>
            <w:gridSpan w:val="2"/>
          </w:tcPr>
          <w:p w14:paraId="6B97157B">
            <w:pPr>
              <w:jc w:val="center"/>
              <w:rPr>
                <w:rFonts w:ascii="宋体" w:hAnsi="宋体" w:eastAsia="宋体" w:cs="Calibri"/>
                <w:color w:val="000000"/>
                <w:szCs w:val="21"/>
              </w:rPr>
            </w:pPr>
            <w:r>
              <w:rPr>
                <w:rFonts w:hint="eastAsia" w:ascii="宋体" w:hAnsi="宋体" w:eastAsia="宋体" w:cs="Calibri"/>
                <w:color w:val="000000"/>
                <w:szCs w:val="21"/>
              </w:rPr>
              <w:t>450000元</w:t>
            </w:r>
          </w:p>
        </w:tc>
      </w:tr>
    </w:tbl>
    <w:p w14:paraId="5EB76690"/>
    <w:p w14:paraId="1612CF52">
      <w:pPr>
        <w:pStyle w:val="2"/>
        <w:ind w:firstLine="0"/>
      </w:pPr>
      <w:r>
        <w:rPr>
          <w:rFonts w:hint="eastAsia"/>
        </w:rPr>
        <w:t>超融合参数</w:t>
      </w:r>
    </w:p>
    <w:tbl>
      <w:tblPr>
        <w:tblStyle w:val="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0"/>
        <w:gridCol w:w="6962"/>
      </w:tblGrid>
      <w:tr w14:paraId="47B25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915" w:type="pct"/>
            <w:shd w:val="clear" w:color="auto" w:fill="auto"/>
            <w:vAlign w:val="center"/>
          </w:tcPr>
          <w:p w14:paraId="645D04A6">
            <w:pPr>
              <w:jc w:val="center"/>
              <w:rPr>
                <w:rFonts w:ascii="宋体" w:hAnsi="宋体" w:eastAsia="宋体" w:cs="宋体"/>
                <w:bCs/>
                <w:szCs w:val="21"/>
              </w:rPr>
            </w:pPr>
            <w:r>
              <w:rPr>
                <w:rFonts w:hint="eastAsia" w:ascii="宋体" w:hAnsi="宋体" w:eastAsia="宋体" w:cs="宋体"/>
                <w:bCs/>
                <w:szCs w:val="21"/>
              </w:rPr>
              <w:t>参数项</w:t>
            </w:r>
          </w:p>
        </w:tc>
        <w:tc>
          <w:tcPr>
            <w:tcW w:w="4084" w:type="pct"/>
            <w:shd w:val="clear" w:color="000000" w:fill="FFFFFF"/>
            <w:vAlign w:val="center"/>
          </w:tcPr>
          <w:p w14:paraId="343EBC5E">
            <w:pPr>
              <w:jc w:val="center"/>
              <w:rPr>
                <w:rFonts w:ascii="宋体" w:hAnsi="宋体" w:eastAsia="宋体" w:cs="宋体"/>
                <w:bCs/>
                <w:szCs w:val="21"/>
              </w:rPr>
            </w:pPr>
            <w:r>
              <w:rPr>
                <w:rFonts w:hint="eastAsia" w:ascii="宋体" w:hAnsi="宋体" w:eastAsia="宋体" w:cs="宋体"/>
                <w:bCs/>
                <w:szCs w:val="21"/>
              </w:rPr>
              <w:t>详细技术配置要求</w:t>
            </w:r>
          </w:p>
        </w:tc>
      </w:tr>
      <w:tr w14:paraId="5C10A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 w:hRule="atLeast"/>
        </w:trPr>
        <w:tc>
          <w:tcPr>
            <w:tcW w:w="915" w:type="pct"/>
            <w:vMerge w:val="restart"/>
            <w:shd w:val="clear" w:color="auto" w:fill="auto"/>
            <w:vAlign w:val="center"/>
          </w:tcPr>
          <w:p w14:paraId="28FA1A40">
            <w:pPr>
              <w:jc w:val="center"/>
              <w:rPr>
                <w:rFonts w:ascii="宋体" w:hAnsi="宋体" w:eastAsia="宋体" w:cs="宋体"/>
                <w:bCs/>
                <w:szCs w:val="21"/>
              </w:rPr>
            </w:pPr>
            <w:r>
              <w:rPr>
                <w:rFonts w:hint="eastAsia" w:ascii="宋体" w:hAnsi="宋体" w:eastAsia="宋体" w:cs="宋体"/>
                <w:bCs/>
                <w:szCs w:val="21"/>
              </w:rPr>
              <w:t>★基础要求</w:t>
            </w:r>
          </w:p>
        </w:tc>
        <w:tc>
          <w:tcPr>
            <w:tcW w:w="4084" w:type="pct"/>
            <w:shd w:val="clear" w:color="000000" w:fill="FFFFFF"/>
            <w:vAlign w:val="center"/>
          </w:tcPr>
          <w:p w14:paraId="220FBE33">
            <w:pPr>
              <w:rPr>
                <w:rFonts w:ascii="宋体" w:hAnsi="宋体" w:eastAsia="宋体" w:cs="宋体"/>
                <w:bCs/>
                <w:szCs w:val="21"/>
              </w:rPr>
            </w:pPr>
            <w:r>
              <w:rPr>
                <w:rFonts w:hint="eastAsia" w:ascii="宋体" w:hAnsi="宋体" w:eastAsia="宋体" w:cs="宋体"/>
                <w:bCs/>
                <w:szCs w:val="21"/>
              </w:rPr>
              <w:t>实现此次新建超融合集群与利旧超融合集群的跨集群统一管理与运维，具备对虚拟机全生命周期管理、资源监控等功能。具备大规模资源池的纳管能力，可支持跨地域的多集群管理。（需提供纳管利旧集群的承诺函及技术实现证明，如技术截图证明材料）</w:t>
            </w:r>
          </w:p>
        </w:tc>
      </w:tr>
      <w:tr w14:paraId="1CD58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4" w:hRule="atLeast"/>
        </w:trPr>
        <w:tc>
          <w:tcPr>
            <w:tcW w:w="915" w:type="pct"/>
            <w:vMerge w:val="continue"/>
            <w:shd w:val="clear" w:color="auto" w:fill="auto"/>
            <w:vAlign w:val="center"/>
          </w:tcPr>
          <w:p w14:paraId="53D8C098">
            <w:pPr>
              <w:jc w:val="center"/>
              <w:rPr>
                <w:rFonts w:ascii="宋体" w:hAnsi="宋体" w:eastAsia="宋体" w:cs="宋体"/>
                <w:bCs/>
                <w:szCs w:val="21"/>
              </w:rPr>
            </w:pPr>
          </w:p>
        </w:tc>
        <w:tc>
          <w:tcPr>
            <w:tcW w:w="4084" w:type="pct"/>
            <w:shd w:val="clear" w:color="000000" w:fill="FFFFFF"/>
            <w:vAlign w:val="center"/>
          </w:tcPr>
          <w:p w14:paraId="5E4BA924">
            <w:pPr>
              <w:rPr>
                <w:rFonts w:ascii="宋体" w:hAnsi="宋体" w:eastAsia="宋体" w:cs="宋体"/>
                <w:bCs/>
                <w:szCs w:val="21"/>
              </w:rPr>
            </w:pPr>
            <w:r>
              <w:rPr>
                <w:rFonts w:hint="eastAsia" w:ascii="宋体" w:hAnsi="宋体" w:eastAsia="宋体" w:cs="宋体"/>
                <w:bCs/>
                <w:szCs w:val="21"/>
              </w:rPr>
              <w:t>本项目共配置4台服务器；</w:t>
            </w:r>
          </w:p>
          <w:p w14:paraId="6D950179">
            <w:pPr>
              <w:rPr>
                <w:rFonts w:ascii="宋体" w:hAnsi="宋体" w:eastAsia="宋体" w:cs="宋体"/>
                <w:bCs/>
                <w:szCs w:val="21"/>
              </w:rPr>
            </w:pPr>
            <w:r>
              <w:rPr>
                <w:rFonts w:hint="eastAsia" w:ascii="宋体" w:hAnsi="宋体" w:eastAsia="宋体" w:cs="宋体"/>
                <w:bCs/>
                <w:szCs w:val="21"/>
              </w:rPr>
              <w:t>单台服务器配置要求：标准机架式2U服务器，Intel Gold 6226R*2颗，标配DDR4内存≥512G，后置系统盘SATA SSD *2块，接口配置不少于6个千兆电口，不少于2个万兆光口（至少含多模光模块），集成IPMI管理模块，前置不少于12个3.5"热插拔SAS/SATA盘位，冗余电源；至少配置4块4T数据盘，至少配置1块960G缓存盘，至少含硬件5年质保和远程技术支持服务</w:t>
            </w:r>
          </w:p>
        </w:tc>
      </w:tr>
      <w:tr w14:paraId="6770C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915" w:type="pct"/>
            <w:vMerge w:val="continue"/>
            <w:shd w:val="clear" w:color="auto" w:fill="auto"/>
            <w:vAlign w:val="center"/>
          </w:tcPr>
          <w:p w14:paraId="07FF9932">
            <w:pPr>
              <w:jc w:val="center"/>
              <w:rPr>
                <w:rFonts w:ascii="宋体" w:hAnsi="宋体" w:eastAsia="宋体" w:cs="宋体"/>
                <w:bCs/>
                <w:szCs w:val="21"/>
              </w:rPr>
            </w:pPr>
          </w:p>
        </w:tc>
        <w:tc>
          <w:tcPr>
            <w:tcW w:w="4084" w:type="pct"/>
            <w:shd w:val="clear" w:color="000000" w:fill="FFFFFF"/>
            <w:vAlign w:val="center"/>
          </w:tcPr>
          <w:p w14:paraId="23B9B2AC">
            <w:pPr>
              <w:rPr>
                <w:rFonts w:ascii="宋体" w:hAnsi="宋体" w:eastAsia="宋体" w:cs="宋体"/>
                <w:bCs/>
                <w:szCs w:val="21"/>
              </w:rPr>
            </w:pPr>
            <w:r>
              <w:rPr>
                <w:rFonts w:hint="eastAsia" w:ascii="宋体" w:hAnsi="宋体" w:eastAsia="宋体" w:cs="宋体"/>
                <w:bCs/>
                <w:szCs w:val="21"/>
              </w:rPr>
              <w:t>共包含计算虚拟化、存储虚拟化、网络虚拟化、统一云管平台各8颗CPU授权;</w:t>
            </w:r>
          </w:p>
        </w:tc>
      </w:tr>
      <w:tr w14:paraId="03856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15" w:type="pct"/>
            <w:vMerge w:val="restart"/>
            <w:shd w:val="clear" w:color="auto" w:fill="auto"/>
            <w:vAlign w:val="center"/>
          </w:tcPr>
          <w:p w14:paraId="3E66CF11">
            <w:pPr>
              <w:jc w:val="center"/>
              <w:rPr>
                <w:rFonts w:ascii="宋体" w:hAnsi="宋体" w:eastAsia="宋体" w:cs="宋体"/>
                <w:bCs/>
                <w:szCs w:val="21"/>
              </w:rPr>
            </w:pPr>
            <w:r>
              <w:rPr>
                <w:rFonts w:hint="eastAsia" w:ascii="宋体" w:hAnsi="宋体" w:eastAsia="宋体" w:cs="宋体"/>
                <w:bCs/>
                <w:szCs w:val="21"/>
              </w:rPr>
              <w:t>管理平台软件要求</w:t>
            </w:r>
          </w:p>
        </w:tc>
        <w:tc>
          <w:tcPr>
            <w:tcW w:w="4084" w:type="pct"/>
            <w:shd w:val="clear" w:color="auto" w:fill="auto"/>
            <w:vAlign w:val="center"/>
          </w:tcPr>
          <w:p w14:paraId="1D01B960">
            <w:pPr>
              <w:rPr>
                <w:rFonts w:ascii="宋体" w:hAnsi="宋体" w:eastAsia="宋体" w:cs="宋体"/>
                <w:bCs/>
                <w:szCs w:val="21"/>
              </w:rPr>
            </w:pPr>
            <w:r>
              <w:rPr>
                <w:rFonts w:hint="eastAsia" w:ascii="宋体" w:hAnsi="宋体" w:eastAsia="宋体" w:cs="宋体"/>
                <w:bCs/>
                <w:szCs w:val="21"/>
              </w:rPr>
              <w:t>以保证功能的可靠性和安全性，应能够提供整体架构平台性能监控功能，对集群资源、服务器、云服务器的性能监控等完整功能。</w:t>
            </w:r>
          </w:p>
        </w:tc>
      </w:tr>
      <w:tr w14:paraId="4A5FB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15" w:type="pct"/>
            <w:vMerge w:val="continue"/>
            <w:shd w:val="clear" w:color="auto" w:fill="auto"/>
            <w:vAlign w:val="center"/>
          </w:tcPr>
          <w:p w14:paraId="788133D2">
            <w:pPr>
              <w:jc w:val="center"/>
              <w:rPr>
                <w:rFonts w:ascii="宋体" w:hAnsi="宋体" w:eastAsia="宋体" w:cs="宋体"/>
                <w:bCs/>
                <w:szCs w:val="21"/>
              </w:rPr>
            </w:pPr>
          </w:p>
        </w:tc>
        <w:tc>
          <w:tcPr>
            <w:tcW w:w="4084" w:type="pct"/>
            <w:shd w:val="clear" w:color="auto" w:fill="auto"/>
            <w:vAlign w:val="center"/>
          </w:tcPr>
          <w:p w14:paraId="1CC0DACC">
            <w:pPr>
              <w:rPr>
                <w:rFonts w:ascii="宋体" w:hAnsi="宋体" w:eastAsia="宋体" w:cs="宋体"/>
                <w:bCs/>
                <w:szCs w:val="21"/>
              </w:rPr>
            </w:pPr>
            <w:r>
              <w:rPr>
                <w:rFonts w:hint="eastAsia" w:ascii="宋体" w:hAnsi="宋体" w:eastAsia="宋体" w:cs="宋体"/>
                <w:bCs/>
                <w:szCs w:val="21"/>
              </w:rPr>
              <w:t>支持基于Web界面方式快速初始化集群，通过向导式操作即可在30分钟内完成集群部署工作，实现平台快速交付。</w:t>
            </w:r>
          </w:p>
        </w:tc>
      </w:tr>
      <w:tr w14:paraId="5E279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15" w:type="pct"/>
            <w:vMerge w:val="continue"/>
            <w:shd w:val="clear" w:color="auto" w:fill="auto"/>
            <w:vAlign w:val="center"/>
          </w:tcPr>
          <w:p w14:paraId="73A07AFF">
            <w:pPr>
              <w:jc w:val="center"/>
              <w:rPr>
                <w:rFonts w:ascii="宋体" w:hAnsi="宋体" w:eastAsia="宋体" w:cs="宋体"/>
                <w:bCs/>
                <w:szCs w:val="21"/>
              </w:rPr>
            </w:pPr>
          </w:p>
        </w:tc>
        <w:tc>
          <w:tcPr>
            <w:tcW w:w="4084" w:type="pct"/>
            <w:shd w:val="clear" w:color="auto" w:fill="auto"/>
            <w:vAlign w:val="center"/>
          </w:tcPr>
          <w:p w14:paraId="33D65FBB">
            <w:pPr>
              <w:rPr>
                <w:rFonts w:ascii="宋体" w:hAnsi="宋体" w:eastAsia="宋体" w:cs="宋体"/>
                <w:bCs/>
                <w:szCs w:val="21"/>
              </w:rPr>
            </w:pPr>
            <w:r>
              <w:rPr>
                <w:rFonts w:hint="eastAsia" w:ascii="宋体" w:hAnsi="宋体" w:eastAsia="宋体" w:cs="宋体"/>
                <w:bCs/>
                <w:szCs w:val="21"/>
              </w:rPr>
              <w:t>支持服务器节点退役功能，退役主机的数据自动迁移</w:t>
            </w:r>
            <w:r>
              <w:rPr>
                <w:rFonts w:hint="eastAsia" w:ascii="宋体" w:hAnsi="宋体" w:eastAsia="宋体" w:cs="宋体"/>
                <w:bCs/>
                <w:szCs w:val="21"/>
                <w:lang w:eastAsia="zh-Hans"/>
              </w:rPr>
              <w:t>至</w:t>
            </w:r>
            <w:r>
              <w:rPr>
                <w:rFonts w:hint="eastAsia" w:ascii="宋体" w:hAnsi="宋体" w:eastAsia="宋体" w:cs="宋体"/>
                <w:bCs/>
                <w:szCs w:val="21"/>
              </w:rPr>
              <w:t>其它正常服务器节点。</w:t>
            </w:r>
          </w:p>
        </w:tc>
      </w:tr>
      <w:tr w14:paraId="0FFB7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15" w:type="pct"/>
            <w:vMerge w:val="continue"/>
            <w:shd w:val="clear" w:color="auto" w:fill="auto"/>
            <w:vAlign w:val="center"/>
          </w:tcPr>
          <w:p w14:paraId="75B7AC67">
            <w:pPr>
              <w:jc w:val="center"/>
              <w:rPr>
                <w:rFonts w:ascii="宋体" w:hAnsi="宋体" w:eastAsia="宋体" w:cs="宋体"/>
                <w:bCs/>
                <w:szCs w:val="21"/>
              </w:rPr>
            </w:pPr>
          </w:p>
        </w:tc>
        <w:tc>
          <w:tcPr>
            <w:tcW w:w="4084" w:type="pct"/>
            <w:shd w:val="clear" w:color="auto" w:fill="auto"/>
            <w:vAlign w:val="center"/>
          </w:tcPr>
          <w:p w14:paraId="13ECFB59">
            <w:pPr>
              <w:rPr>
                <w:rFonts w:ascii="宋体" w:hAnsi="宋体" w:eastAsia="宋体" w:cs="宋体"/>
                <w:bCs/>
                <w:szCs w:val="21"/>
              </w:rPr>
            </w:pPr>
            <w:r>
              <w:rPr>
                <w:rFonts w:hint="eastAsia" w:ascii="宋体" w:hAnsi="宋体" w:eastAsia="宋体" w:cs="宋体"/>
                <w:bCs/>
                <w:szCs w:val="21"/>
              </w:rPr>
              <w:t>★支持一键大屏显示功能，方便监控集群状态，展示内容包括集群整体拓扑展示、健康状态、资源统计、资源负载情况及告警信息（需提供具备CNAS/CMA资质的第三方测试机构（如“工信部中国泰尔实验室”）测试报告证明材料或截图证明材料）</w:t>
            </w:r>
          </w:p>
        </w:tc>
      </w:tr>
      <w:tr w14:paraId="37C86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15" w:type="pct"/>
            <w:vMerge w:val="continue"/>
            <w:shd w:val="clear" w:color="auto" w:fill="auto"/>
            <w:vAlign w:val="center"/>
          </w:tcPr>
          <w:p w14:paraId="5F51B1B2">
            <w:pPr>
              <w:jc w:val="center"/>
              <w:rPr>
                <w:rFonts w:ascii="宋体" w:hAnsi="宋体" w:eastAsia="宋体" w:cs="宋体"/>
                <w:bCs/>
                <w:szCs w:val="21"/>
              </w:rPr>
            </w:pPr>
          </w:p>
        </w:tc>
        <w:tc>
          <w:tcPr>
            <w:tcW w:w="4084" w:type="pct"/>
            <w:shd w:val="clear" w:color="auto" w:fill="auto"/>
            <w:vAlign w:val="center"/>
          </w:tcPr>
          <w:p w14:paraId="11F9977A">
            <w:pPr>
              <w:rPr>
                <w:rFonts w:ascii="宋体" w:hAnsi="宋体" w:eastAsia="宋体" w:cs="宋体"/>
                <w:bCs/>
                <w:szCs w:val="21"/>
              </w:rPr>
            </w:pPr>
            <w:r>
              <w:rPr>
                <w:rFonts w:hint="eastAsia" w:ascii="宋体" w:hAnsi="宋体" w:eastAsia="宋体" w:cs="宋体"/>
                <w:bCs/>
                <w:szCs w:val="21"/>
              </w:rPr>
              <w:t>支持动态资源负载功能，可配置调整不同的调度策略，能够以集群为单位监控各服务器主机的资源负载情况，智能调度云服务器到合适的服务器主机实现集群内服务器节点资源负载状况自动均衡。</w:t>
            </w:r>
          </w:p>
        </w:tc>
      </w:tr>
      <w:tr w14:paraId="65651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15" w:type="pct"/>
            <w:vMerge w:val="continue"/>
            <w:shd w:val="clear" w:color="auto" w:fill="auto"/>
            <w:vAlign w:val="center"/>
          </w:tcPr>
          <w:p w14:paraId="047F445C">
            <w:pPr>
              <w:jc w:val="center"/>
              <w:rPr>
                <w:rFonts w:ascii="宋体" w:hAnsi="宋体" w:eastAsia="宋体" w:cs="宋体"/>
                <w:bCs/>
                <w:szCs w:val="21"/>
              </w:rPr>
            </w:pPr>
          </w:p>
        </w:tc>
        <w:tc>
          <w:tcPr>
            <w:tcW w:w="4084" w:type="pct"/>
            <w:shd w:val="clear" w:color="auto" w:fill="auto"/>
            <w:vAlign w:val="center"/>
          </w:tcPr>
          <w:p w14:paraId="026A10E7">
            <w:pPr>
              <w:rPr>
                <w:rFonts w:ascii="宋体" w:hAnsi="宋体" w:eastAsia="宋体" w:cs="宋体"/>
                <w:bCs/>
                <w:szCs w:val="21"/>
              </w:rPr>
            </w:pPr>
            <w:r>
              <w:rPr>
                <w:rFonts w:hint="eastAsia" w:ascii="宋体" w:hAnsi="宋体" w:eastAsia="宋体" w:cs="宋体"/>
                <w:bCs/>
                <w:szCs w:val="21"/>
              </w:rPr>
              <w:t>支持分布式电源管理功能,根据集群内主机资源负载情况，在不影响业务的情况下实现自动的服务器开、关机，达到能源效率和资源分配，节省电力和制冷开支</w:t>
            </w:r>
          </w:p>
        </w:tc>
      </w:tr>
      <w:tr w14:paraId="5BC11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15" w:type="pct"/>
            <w:vMerge w:val="continue"/>
            <w:shd w:val="clear" w:color="auto" w:fill="auto"/>
            <w:vAlign w:val="center"/>
          </w:tcPr>
          <w:p w14:paraId="546A3713">
            <w:pPr>
              <w:jc w:val="center"/>
              <w:rPr>
                <w:rFonts w:ascii="宋体" w:hAnsi="宋体" w:eastAsia="宋体" w:cs="宋体"/>
                <w:bCs/>
                <w:szCs w:val="21"/>
              </w:rPr>
            </w:pPr>
          </w:p>
        </w:tc>
        <w:tc>
          <w:tcPr>
            <w:tcW w:w="4084" w:type="pct"/>
            <w:shd w:val="clear" w:color="auto" w:fill="auto"/>
            <w:vAlign w:val="center"/>
          </w:tcPr>
          <w:p w14:paraId="50CCCD44">
            <w:pPr>
              <w:rPr>
                <w:rFonts w:ascii="宋体" w:hAnsi="宋体" w:eastAsia="宋体" w:cs="宋体"/>
                <w:bCs/>
                <w:szCs w:val="21"/>
              </w:rPr>
            </w:pPr>
            <w:r>
              <w:rPr>
                <w:rFonts w:hint="eastAsia" w:ascii="宋体" w:hAnsi="宋体" w:eastAsia="宋体" w:cs="宋体"/>
                <w:bCs/>
                <w:szCs w:val="21"/>
              </w:rPr>
              <w:t>支持对接外置存储磁盘阵列或软件定义存储，接口类型应包括FC SAN、iSCSI、NFS和Ceph RBD等，支持基于外部存储的服务器节点高可用性，云服务器可在不同存储间进行迁移。</w:t>
            </w:r>
          </w:p>
        </w:tc>
      </w:tr>
      <w:tr w14:paraId="69CD0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15" w:type="pct"/>
            <w:vMerge w:val="continue"/>
            <w:shd w:val="clear" w:color="auto" w:fill="auto"/>
            <w:vAlign w:val="center"/>
          </w:tcPr>
          <w:p w14:paraId="66730005">
            <w:pPr>
              <w:jc w:val="center"/>
              <w:rPr>
                <w:rFonts w:ascii="宋体" w:hAnsi="宋体" w:eastAsia="宋体" w:cs="宋体"/>
                <w:bCs/>
                <w:szCs w:val="21"/>
              </w:rPr>
            </w:pPr>
          </w:p>
        </w:tc>
        <w:tc>
          <w:tcPr>
            <w:tcW w:w="4084" w:type="pct"/>
            <w:shd w:val="clear" w:color="auto" w:fill="auto"/>
            <w:vAlign w:val="center"/>
          </w:tcPr>
          <w:p w14:paraId="59793D5A">
            <w:pPr>
              <w:rPr>
                <w:rFonts w:ascii="宋体" w:hAnsi="宋体" w:eastAsia="宋体" w:cs="宋体"/>
                <w:bCs/>
                <w:szCs w:val="21"/>
              </w:rPr>
            </w:pPr>
            <w:r>
              <w:rPr>
                <w:rFonts w:hint="eastAsia" w:ascii="宋体" w:hAnsi="宋体" w:eastAsia="宋体" w:cs="宋体"/>
                <w:bCs/>
                <w:szCs w:val="21"/>
              </w:rPr>
              <w:t>支持集群配置元数据备份功能，可以定义备份策略，策略包括备份周期、保留份数及备份位置，备份位置包含本地或远端，出现问题时可以快速恢复。</w:t>
            </w:r>
          </w:p>
        </w:tc>
      </w:tr>
      <w:tr w14:paraId="44583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15" w:type="pct"/>
            <w:vMerge w:val="continue"/>
            <w:shd w:val="clear" w:color="auto" w:fill="auto"/>
            <w:vAlign w:val="center"/>
          </w:tcPr>
          <w:p w14:paraId="12A42933">
            <w:pPr>
              <w:jc w:val="center"/>
              <w:rPr>
                <w:rFonts w:ascii="宋体" w:hAnsi="宋体" w:eastAsia="宋体" w:cs="宋体"/>
                <w:bCs/>
                <w:szCs w:val="21"/>
              </w:rPr>
            </w:pPr>
          </w:p>
        </w:tc>
        <w:tc>
          <w:tcPr>
            <w:tcW w:w="4084" w:type="pct"/>
            <w:shd w:val="clear" w:color="auto" w:fill="auto"/>
            <w:vAlign w:val="center"/>
          </w:tcPr>
          <w:p w14:paraId="61497AD4">
            <w:pPr>
              <w:rPr>
                <w:rFonts w:ascii="宋体" w:hAnsi="宋体" w:eastAsia="宋体" w:cs="宋体"/>
                <w:bCs/>
                <w:szCs w:val="21"/>
              </w:rPr>
            </w:pPr>
            <w:r>
              <w:rPr>
                <w:rFonts w:hint="eastAsia" w:ascii="宋体" w:hAnsi="宋体" w:eastAsia="宋体" w:cs="宋体"/>
                <w:bCs/>
                <w:szCs w:val="21"/>
              </w:rPr>
              <w:t>支持标签功能，通过标签分类，可以通过给指定的资源对象绑定一个或多个不同的标签来实现多维度的资源分组管理功能，以便于灵活、方便地进行资源分配、调度、配置、部署等管理工作。</w:t>
            </w:r>
          </w:p>
        </w:tc>
      </w:tr>
      <w:tr w14:paraId="50CCF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15" w:type="pct"/>
            <w:vMerge w:val="restart"/>
            <w:shd w:val="clear" w:color="auto" w:fill="auto"/>
            <w:vAlign w:val="center"/>
          </w:tcPr>
          <w:p w14:paraId="3AB9F63A">
            <w:pPr>
              <w:jc w:val="center"/>
              <w:rPr>
                <w:rFonts w:ascii="宋体" w:hAnsi="宋体" w:eastAsia="宋体" w:cs="宋体"/>
                <w:bCs/>
                <w:szCs w:val="21"/>
              </w:rPr>
            </w:pPr>
            <w:r>
              <w:rPr>
                <w:rFonts w:hint="eastAsia" w:ascii="宋体" w:hAnsi="宋体" w:eastAsia="宋体" w:cs="宋体"/>
                <w:bCs/>
                <w:szCs w:val="21"/>
              </w:rPr>
              <w:t>计算虚拟化要求</w:t>
            </w:r>
          </w:p>
        </w:tc>
        <w:tc>
          <w:tcPr>
            <w:tcW w:w="4084" w:type="pct"/>
            <w:shd w:val="clear" w:color="auto" w:fill="auto"/>
            <w:vAlign w:val="center"/>
          </w:tcPr>
          <w:p w14:paraId="2D9BC4F7">
            <w:pPr>
              <w:rPr>
                <w:rFonts w:ascii="宋体" w:hAnsi="宋体" w:eastAsia="宋体" w:cs="宋体"/>
                <w:bCs/>
                <w:szCs w:val="21"/>
              </w:rPr>
            </w:pPr>
            <w:r>
              <w:rPr>
                <w:rFonts w:hint="eastAsia" w:ascii="宋体" w:hAnsi="宋体" w:eastAsia="宋体" w:cs="宋体"/>
                <w:bCs/>
                <w:szCs w:val="21"/>
              </w:rPr>
              <w:t>支持批量修改云服务器的配置参数，包括：CPU基准类型、CPU自动扩展、内存自动扩展、HA、是否双活、是否绑定主资源池、是否开启数据本地化、是否开启异常监测、是否启用内存安全等（需提供具备CNAS/CMA资质的第三方测试机构（如“工信部中国泰尔实验室”）测试报告证明材料或截图证明材料）</w:t>
            </w:r>
          </w:p>
        </w:tc>
      </w:tr>
      <w:tr w14:paraId="6EAAF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15" w:type="pct"/>
            <w:vMerge w:val="continue"/>
            <w:shd w:val="clear" w:color="auto" w:fill="auto"/>
            <w:vAlign w:val="center"/>
          </w:tcPr>
          <w:p w14:paraId="0239D223">
            <w:pPr>
              <w:jc w:val="center"/>
              <w:rPr>
                <w:rFonts w:ascii="宋体" w:hAnsi="宋体" w:eastAsia="宋体" w:cs="宋体"/>
                <w:bCs/>
                <w:szCs w:val="21"/>
              </w:rPr>
            </w:pPr>
          </w:p>
        </w:tc>
        <w:tc>
          <w:tcPr>
            <w:tcW w:w="4084" w:type="pct"/>
            <w:shd w:val="clear" w:color="auto" w:fill="auto"/>
            <w:vAlign w:val="center"/>
          </w:tcPr>
          <w:p w14:paraId="35A73A3A">
            <w:pPr>
              <w:rPr>
                <w:rFonts w:ascii="宋体" w:hAnsi="宋体" w:eastAsia="宋体" w:cs="宋体"/>
                <w:bCs/>
                <w:szCs w:val="21"/>
              </w:rPr>
            </w:pPr>
            <w:r>
              <w:rPr>
                <w:rFonts w:hint="eastAsia" w:ascii="宋体" w:hAnsi="宋体" w:eastAsia="宋体" w:cs="宋体"/>
                <w:bCs/>
                <w:szCs w:val="21"/>
              </w:rPr>
              <w:t>支持为云服务器配置IPv6、IPv4或双栈网络，根据需求选择地址类型；支持云服务器网络防欺骗，云平台有开关阻止用户非法修改IP地址和MAC地址后发出的数据包。</w:t>
            </w:r>
          </w:p>
        </w:tc>
      </w:tr>
      <w:tr w14:paraId="5542F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15" w:type="pct"/>
            <w:vMerge w:val="continue"/>
            <w:shd w:val="clear" w:color="auto" w:fill="auto"/>
            <w:vAlign w:val="center"/>
          </w:tcPr>
          <w:p w14:paraId="5C33D3B3">
            <w:pPr>
              <w:jc w:val="center"/>
              <w:rPr>
                <w:rFonts w:ascii="宋体" w:hAnsi="宋体" w:eastAsia="宋体" w:cs="宋体"/>
                <w:bCs/>
                <w:szCs w:val="21"/>
              </w:rPr>
            </w:pPr>
          </w:p>
        </w:tc>
        <w:tc>
          <w:tcPr>
            <w:tcW w:w="4084" w:type="pct"/>
            <w:shd w:val="clear" w:color="auto" w:fill="auto"/>
            <w:vAlign w:val="center"/>
          </w:tcPr>
          <w:p w14:paraId="14128DAF">
            <w:pPr>
              <w:rPr>
                <w:rFonts w:ascii="宋体" w:hAnsi="宋体" w:eastAsia="宋体" w:cs="宋体"/>
                <w:bCs/>
                <w:szCs w:val="21"/>
              </w:rPr>
            </w:pPr>
            <w:r>
              <w:rPr>
                <w:rFonts w:hint="eastAsia" w:ascii="宋体" w:hAnsi="宋体" w:eastAsia="宋体" w:cs="宋体"/>
                <w:bCs/>
                <w:szCs w:val="21"/>
              </w:rPr>
              <w:t>支持精细化的云服务器虚拟网卡设置，可按需指定网卡类型、Qos、自定义IP地址、MAC地址，网络Qos设置，可以按照发送或接受设置速率、峰值及突发，更好的进行网络流量控制。</w:t>
            </w:r>
          </w:p>
        </w:tc>
      </w:tr>
      <w:tr w14:paraId="4F674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15" w:type="pct"/>
            <w:vMerge w:val="continue"/>
            <w:shd w:val="clear" w:color="auto" w:fill="auto"/>
            <w:vAlign w:val="center"/>
          </w:tcPr>
          <w:p w14:paraId="3C3B3408">
            <w:pPr>
              <w:jc w:val="center"/>
              <w:rPr>
                <w:rFonts w:ascii="宋体" w:hAnsi="宋体" w:eastAsia="宋体" w:cs="宋体"/>
                <w:bCs/>
                <w:szCs w:val="21"/>
              </w:rPr>
            </w:pPr>
          </w:p>
        </w:tc>
        <w:tc>
          <w:tcPr>
            <w:tcW w:w="4084" w:type="pct"/>
            <w:shd w:val="clear" w:color="auto" w:fill="auto"/>
            <w:vAlign w:val="center"/>
          </w:tcPr>
          <w:p w14:paraId="122D8826">
            <w:pPr>
              <w:rPr>
                <w:rFonts w:ascii="宋体" w:hAnsi="宋体" w:eastAsia="宋体" w:cs="宋体"/>
                <w:bCs/>
                <w:szCs w:val="21"/>
              </w:rPr>
            </w:pPr>
            <w:r>
              <w:rPr>
                <w:rFonts w:hint="eastAsia" w:ascii="宋体" w:hAnsi="宋体" w:eastAsia="宋体" w:cs="宋体"/>
                <w:bCs/>
                <w:szCs w:val="21"/>
              </w:rPr>
              <w:t>云服务器支持嵌套虚拟化功能，允许Hypervisor，使得在云服务器上可以再运行云服务器。</w:t>
            </w:r>
          </w:p>
        </w:tc>
      </w:tr>
      <w:tr w14:paraId="58878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15" w:type="pct"/>
            <w:vMerge w:val="continue"/>
            <w:shd w:val="clear" w:color="auto" w:fill="auto"/>
            <w:vAlign w:val="center"/>
          </w:tcPr>
          <w:p w14:paraId="26A4DEB1">
            <w:pPr>
              <w:jc w:val="center"/>
              <w:rPr>
                <w:rFonts w:ascii="宋体" w:hAnsi="宋体" w:eastAsia="宋体" w:cs="宋体"/>
                <w:bCs/>
                <w:szCs w:val="21"/>
              </w:rPr>
            </w:pPr>
          </w:p>
        </w:tc>
        <w:tc>
          <w:tcPr>
            <w:tcW w:w="4084" w:type="pct"/>
            <w:shd w:val="clear" w:color="auto" w:fill="auto"/>
            <w:vAlign w:val="center"/>
          </w:tcPr>
          <w:p w14:paraId="6D9886C7">
            <w:pPr>
              <w:rPr>
                <w:rFonts w:ascii="宋体" w:hAnsi="宋体" w:eastAsia="宋体" w:cs="宋体"/>
                <w:bCs/>
                <w:szCs w:val="21"/>
              </w:rPr>
            </w:pPr>
            <w:r>
              <w:rPr>
                <w:rFonts w:hint="eastAsia" w:ascii="宋体" w:hAnsi="宋体" w:eastAsia="宋体" w:cs="宋体"/>
                <w:bCs/>
                <w:szCs w:val="21"/>
              </w:rPr>
              <w:t>云服务器支持CPU基准配置，实现同一集群内的异构CPU配置，集群中云服务器可以在不同配置CPU的服务器上实现在线的迁移，同时支持资源池的CPU基准统一配置，提供更高的兼容性</w:t>
            </w:r>
          </w:p>
        </w:tc>
      </w:tr>
      <w:tr w14:paraId="31FCD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15" w:type="pct"/>
            <w:vMerge w:val="continue"/>
            <w:shd w:val="clear" w:color="auto" w:fill="auto"/>
            <w:vAlign w:val="center"/>
          </w:tcPr>
          <w:p w14:paraId="12D7BDB6">
            <w:pPr>
              <w:jc w:val="center"/>
              <w:rPr>
                <w:rFonts w:ascii="宋体" w:hAnsi="宋体" w:eastAsia="宋体" w:cs="宋体"/>
                <w:bCs/>
                <w:szCs w:val="21"/>
              </w:rPr>
            </w:pPr>
          </w:p>
        </w:tc>
        <w:tc>
          <w:tcPr>
            <w:tcW w:w="4084" w:type="pct"/>
            <w:shd w:val="clear" w:color="auto" w:fill="auto"/>
            <w:vAlign w:val="center"/>
          </w:tcPr>
          <w:p w14:paraId="59DAACE6">
            <w:pPr>
              <w:rPr>
                <w:rFonts w:ascii="宋体" w:hAnsi="宋体" w:eastAsia="宋体" w:cs="宋体"/>
                <w:bCs/>
                <w:szCs w:val="21"/>
              </w:rPr>
            </w:pPr>
            <w:r>
              <w:rPr>
                <w:rFonts w:hint="eastAsia" w:ascii="宋体" w:hAnsi="宋体" w:eastAsia="宋体" w:cs="宋体"/>
                <w:bCs/>
                <w:szCs w:val="21"/>
              </w:rPr>
              <w:t>支持云服务器级别副本设置，可以针对不同场景给不同云服务器设置不同数量副本，提升灵活性。最小可以支持1副本，最高可以支持6个副本，并可以支持动态在线增加和删除副本。</w:t>
            </w:r>
          </w:p>
        </w:tc>
      </w:tr>
      <w:tr w14:paraId="08C37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15" w:type="pct"/>
            <w:vMerge w:val="continue"/>
            <w:shd w:val="clear" w:color="auto" w:fill="auto"/>
            <w:vAlign w:val="center"/>
          </w:tcPr>
          <w:p w14:paraId="0F5040F2">
            <w:pPr>
              <w:jc w:val="center"/>
              <w:rPr>
                <w:rFonts w:ascii="宋体" w:hAnsi="宋体" w:eastAsia="宋体" w:cs="宋体"/>
                <w:bCs/>
                <w:szCs w:val="21"/>
              </w:rPr>
            </w:pPr>
          </w:p>
        </w:tc>
        <w:tc>
          <w:tcPr>
            <w:tcW w:w="4084" w:type="pct"/>
            <w:shd w:val="clear" w:color="auto" w:fill="auto"/>
            <w:vAlign w:val="center"/>
          </w:tcPr>
          <w:p w14:paraId="51585520">
            <w:pPr>
              <w:rPr>
                <w:rFonts w:ascii="宋体" w:hAnsi="宋体" w:eastAsia="宋体" w:cs="宋体"/>
                <w:bCs/>
                <w:szCs w:val="21"/>
              </w:rPr>
            </w:pPr>
            <w:r>
              <w:rPr>
                <w:rFonts w:hint="eastAsia" w:ascii="宋体" w:hAnsi="宋体" w:eastAsia="宋体" w:cs="宋体"/>
                <w:bCs/>
                <w:szCs w:val="21"/>
              </w:rPr>
              <w:t>支持云服务器存储本地化设置，云服务器设置好本地化后会在服务器本地存储建立完整的副本，当云服务器迁移到其他服务器，会继续在本地建立完整副本</w:t>
            </w:r>
          </w:p>
        </w:tc>
      </w:tr>
      <w:tr w14:paraId="3BEA3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15" w:type="pct"/>
            <w:vMerge w:val="continue"/>
            <w:shd w:val="clear" w:color="auto" w:fill="auto"/>
            <w:vAlign w:val="center"/>
          </w:tcPr>
          <w:p w14:paraId="18B3738F">
            <w:pPr>
              <w:jc w:val="center"/>
              <w:rPr>
                <w:rFonts w:ascii="宋体" w:hAnsi="宋体" w:eastAsia="宋体" w:cs="宋体"/>
                <w:bCs/>
                <w:szCs w:val="21"/>
              </w:rPr>
            </w:pPr>
          </w:p>
        </w:tc>
        <w:tc>
          <w:tcPr>
            <w:tcW w:w="4084" w:type="pct"/>
            <w:shd w:val="clear" w:color="auto" w:fill="auto"/>
            <w:vAlign w:val="center"/>
          </w:tcPr>
          <w:p w14:paraId="67D8FBE1">
            <w:pPr>
              <w:rPr>
                <w:rFonts w:ascii="宋体" w:hAnsi="宋体" w:eastAsia="宋体" w:cs="宋体"/>
                <w:bCs/>
                <w:szCs w:val="21"/>
              </w:rPr>
            </w:pPr>
            <w:r>
              <w:rPr>
                <w:rFonts w:hint="eastAsia" w:ascii="宋体" w:hAnsi="宋体" w:eastAsia="宋体" w:cs="宋体"/>
                <w:bCs/>
                <w:szCs w:val="21"/>
              </w:rPr>
              <w:t>支持云服务器存储链路冗余设置，可以设置多条访问存储卷的链路，提升云服务器访问存储的可靠性和性能。</w:t>
            </w:r>
          </w:p>
        </w:tc>
      </w:tr>
      <w:tr w14:paraId="17A71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15" w:type="pct"/>
            <w:vMerge w:val="continue"/>
            <w:shd w:val="clear" w:color="auto" w:fill="auto"/>
            <w:vAlign w:val="center"/>
          </w:tcPr>
          <w:p w14:paraId="03EF9D54">
            <w:pPr>
              <w:jc w:val="center"/>
              <w:rPr>
                <w:rFonts w:ascii="宋体" w:hAnsi="宋体" w:eastAsia="宋体" w:cs="宋体"/>
                <w:bCs/>
                <w:szCs w:val="21"/>
              </w:rPr>
            </w:pPr>
          </w:p>
        </w:tc>
        <w:tc>
          <w:tcPr>
            <w:tcW w:w="4084" w:type="pct"/>
            <w:shd w:val="clear" w:color="auto" w:fill="auto"/>
            <w:vAlign w:val="center"/>
          </w:tcPr>
          <w:p w14:paraId="4235DB36">
            <w:pPr>
              <w:rPr>
                <w:rFonts w:ascii="宋体" w:hAnsi="宋体" w:eastAsia="宋体" w:cs="宋体"/>
                <w:bCs/>
                <w:szCs w:val="21"/>
              </w:rPr>
            </w:pPr>
            <w:r>
              <w:rPr>
                <w:rFonts w:hint="eastAsia" w:ascii="宋体" w:hAnsi="宋体" w:eastAsia="宋体" w:cs="宋体"/>
                <w:bCs/>
                <w:szCs w:val="21"/>
              </w:rPr>
              <w:t>★支持蓝屏检测技术，通过界面记录云服务器重新拉起过程，包括故障、蓝屏、HA等过程，可在云服务器详情日志页面里面查看详情（需提供具备CNAS/CMA资质的第三方测试机构（如“工信部中国泰尔实验室”）测试报告证明材料或截图证明材料）</w:t>
            </w:r>
          </w:p>
        </w:tc>
      </w:tr>
      <w:tr w14:paraId="46E05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15" w:type="pct"/>
            <w:vMerge w:val="continue"/>
            <w:shd w:val="clear" w:color="auto" w:fill="auto"/>
            <w:vAlign w:val="center"/>
          </w:tcPr>
          <w:p w14:paraId="552BE525">
            <w:pPr>
              <w:jc w:val="center"/>
              <w:rPr>
                <w:rFonts w:ascii="宋体" w:hAnsi="宋体" w:eastAsia="宋体" w:cs="宋体"/>
                <w:bCs/>
                <w:szCs w:val="21"/>
              </w:rPr>
            </w:pPr>
          </w:p>
        </w:tc>
        <w:tc>
          <w:tcPr>
            <w:tcW w:w="4084" w:type="pct"/>
            <w:shd w:val="clear" w:color="auto" w:fill="auto"/>
            <w:vAlign w:val="center"/>
          </w:tcPr>
          <w:p w14:paraId="458A9A5A">
            <w:pPr>
              <w:rPr>
                <w:rFonts w:ascii="宋体" w:hAnsi="宋体" w:eastAsia="宋体" w:cs="宋体"/>
                <w:bCs/>
                <w:szCs w:val="21"/>
              </w:rPr>
            </w:pPr>
            <w:r>
              <w:rPr>
                <w:rFonts w:hint="eastAsia" w:ascii="宋体" w:hAnsi="宋体" w:eastAsia="宋体" w:cs="宋体"/>
                <w:bCs/>
                <w:szCs w:val="21"/>
              </w:rPr>
              <w:t>为提升运维效率，在发生意外故障导致的云服务器停机时，具备将云服务器奔溃前最后一屏报错信息代码进行截图的功能，为后续排错提供依据。</w:t>
            </w:r>
          </w:p>
        </w:tc>
      </w:tr>
      <w:tr w14:paraId="7438D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15" w:type="pct"/>
            <w:vMerge w:val="restart"/>
            <w:shd w:val="clear" w:color="auto" w:fill="auto"/>
            <w:vAlign w:val="center"/>
          </w:tcPr>
          <w:p w14:paraId="34DFE0E3">
            <w:pPr>
              <w:jc w:val="center"/>
              <w:rPr>
                <w:rFonts w:ascii="宋体" w:hAnsi="宋体" w:eastAsia="宋体" w:cs="宋体"/>
                <w:bCs/>
                <w:szCs w:val="21"/>
              </w:rPr>
            </w:pPr>
            <w:r>
              <w:rPr>
                <w:rFonts w:hint="eastAsia" w:ascii="宋体" w:hAnsi="宋体" w:eastAsia="宋体" w:cs="宋体"/>
                <w:bCs/>
                <w:szCs w:val="21"/>
              </w:rPr>
              <w:t>存储虚拟化要求</w:t>
            </w:r>
          </w:p>
        </w:tc>
        <w:tc>
          <w:tcPr>
            <w:tcW w:w="4084" w:type="pct"/>
            <w:shd w:val="clear" w:color="auto" w:fill="auto"/>
            <w:vAlign w:val="center"/>
          </w:tcPr>
          <w:p w14:paraId="495140CF">
            <w:pPr>
              <w:rPr>
                <w:rFonts w:ascii="宋体" w:hAnsi="宋体" w:eastAsia="宋体" w:cs="宋体"/>
                <w:bCs/>
                <w:szCs w:val="21"/>
              </w:rPr>
            </w:pPr>
            <w:r>
              <w:rPr>
                <w:rFonts w:hint="eastAsia" w:ascii="宋体" w:hAnsi="宋体" w:eastAsia="宋体" w:cs="宋体"/>
                <w:bCs/>
                <w:szCs w:val="21"/>
              </w:rPr>
              <w:t>支持提供统一存储服务，包括块存储，文件存储和对象存储。</w:t>
            </w:r>
          </w:p>
        </w:tc>
      </w:tr>
      <w:tr w14:paraId="5AE66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15" w:type="pct"/>
            <w:vMerge w:val="continue"/>
            <w:shd w:val="clear" w:color="auto" w:fill="auto"/>
            <w:vAlign w:val="center"/>
          </w:tcPr>
          <w:p w14:paraId="1BFBE19B">
            <w:pPr>
              <w:jc w:val="center"/>
              <w:rPr>
                <w:rFonts w:ascii="宋体" w:hAnsi="宋体" w:eastAsia="宋体" w:cs="宋体"/>
                <w:bCs/>
                <w:szCs w:val="21"/>
              </w:rPr>
            </w:pPr>
          </w:p>
        </w:tc>
        <w:tc>
          <w:tcPr>
            <w:tcW w:w="4084" w:type="pct"/>
            <w:shd w:val="clear" w:color="auto" w:fill="auto"/>
            <w:vAlign w:val="center"/>
          </w:tcPr>
          <w:p w14:paraId="5A2B28C0">
            <w:pPr>
              <w:rPr>
                <w:rFonts w:ascii="宋体" w:hAnsi="宋体" w:eastAsia="宋体" w:cs="宋体"/>
                <w:bCs/>
                <w:szCs w:val="21"/>
              </w:rPr>
            </w:pPr>
            <w:r>
              <w:rPr>
                <w:rFonts w:hint="eastAsia" w:ascii="宋体" w:hAnsi="宋体" w:eastAsia="宋体" w:cs="宋体"/>
                <w:bCs/>
                <w:szCs w:val="21"/>
              </w:rPr>
              <w:t>支持数据多副本技术，支持硬盘、节点、机柜级别可用域，数据副本按可用域自动存储，保障用户数据安全。</w:t>
            </w:r>
          </w:p>
        </w:tc>
      </w:tr>
      <w:tr w14:paraId="596AF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15" w:type="pct"/>
            <w:vMerge w:val="continue"/>
            <w:shd w:val="clear" w:color="auto" w:fill="auto"/>
            <w:vAlign w:val="center"/>
          </w:tcPr>
          <w:p w14:paraId="4B2C7495">
            <w:pPr>
              <w:jc w:val="center"/>
              <w:rPr>
                <w:rFonts w:ascii="宋体" w:hAnsi="宋体" w:eastAsia="宋体" w:cs="宋体"/>
                <w:bCs/>
                <w:szCs w:val="21"/>
              </w:rPr>
            </w:pPr>
          </w:p>
        </w:tc>
        <w:tc>
          <w:tcPr>
            <w:tcW w:w="4084" w:type="pct"/>
            <w:shd w:val="clear" w:color="auto" w:fill="auto"/>
            <w:vAlign w:val="center"/>
          </w:tcPr>
          <w:p w14:paraId="3B7FE4BD">
            <w:pPr>
              <w:rPr>
                <w:rFonts w:ascii="宋体" w:hAnsi="宋体" w:eastAsia="宋体" w:cs="宋体"/>
                <w:bCs/>
                <w:szCs w:val="21"/>
              </w:rPr>
            </w:pPr>
            <w:r>
              <w:rPr>
                <w:rFonts w:hint="eastAsia" w:ascii="宋体" w:hAnsi="宋体" w:eastAsia="宋体" w:cs="宋体"/>
                <w:bCs/>
                <w:szCs w:val="21"/>
              </w:rPr>
              <w:t>支持磁盘退役功能，被设置为退役的硬盘，数据自动迁移到集群其它服务器节点磁盘中；支持磁盘维护功能，被设置为维护的硬盘，新数据会自动使用其他磁盘，原数据不受影响。</w:t>
            </w:r>
          </w:p>
        </w:tc>
      </w:tr>
      <w:tr w14:paraId="18A2D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15" w:type="pct"/>
            <w:vMerge w:val="continue"/>
            <w:shd w:val="clear" w:color="auto" w:fill="auto"/>
            <w:vAlign w:val="center"/>
          </w:tcPr>
          <w:p w14:paraId="0CA5876E">
            <w:pPr>
              <w:jc w:val="center"/>
              <w:rPr>
                <w:rFonts w:ascii="宋体" w:hAnsi="宋体" w:eastAsia="宋体" w:cs="宋体"/>
                <w:bCs/>
                <w:szCs w:val="21"/>
              </w:rPr>
            </w:pPr>
          </w:p>
        </w:tc>
        <w:tc>
          <w:tcPr>
            <w:tcW w:w="4084" w:type="pct"/>
            <w:shd w:val="clear" w:color="auto" w:fill="auto"/>
            <w:vAlign w:val="center"/>
          </w:tcPr>
          <w:p w14:paraId="418FE0E1">
            <w:pPr>
              <w:rPr>
                <w:rFonts w:ascii="宋体" w:hAnsi="宋体" w:eastAsia="宋体" w:cs="宋体"/>
                <w:bCs/>
                <w:szCs w:val="21"/>
              </w:rPr>
            </w:pPr>
            <w:r>
              <w:rPr>
                <w:rFonts w:hint="eastAsia" w:ascii="宋体" w:hAnsi="宋体" w:eastAsia="宋体" w:cs="宋体"/>
                <w:bCs/>
                <w:szCs w:val="21"/>
              </w:rPr>
              <w:t>支持数据写入优化机制，支持数据读取优化机制，可以将内存、SSD作为读、写缓存使用，实现内存、SSD、HDD三级存储分层，可以支持内存缓存设置</w:t>
            </w:r>
          </w:p>
        </w:tc>
      </w:tr>
      <w:tr w14:paraId="663F0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15" w:type="pct"/>
            <w:vMerge w:val="continue"/>
            <w:shd w:val="clear" w:color="auto" w:fill="auto"/>
            <w:vAlign w:val="center"/>
          </w:tcPr>
          <w:p w14:paraId="22DC4A95">
            <w:pPr>
              <w:jc w:val="center"/>
              <w:rPr>
                <w:rFonts w:ascii="宋体" w:hAnsi="宋体" w:eastAsia="宋体" w:cs="宋体"/>
                <w:bCs/>
                <w:szCs w:val="21"/>
              </w:rPr>
            </w:pPr>
          </w:p>
        </w:tc>
        <w:tc>
          <w:tcPr>
            <w:tcW w:w="4084" w:type="pct"/>
            <w:shd w:val="clear" w:color="auto" w:fill="auto"/>
            <w:vAlign w:val="center"/>
          </w:tcPr>
          <w:p w14:paraId="55557250">
            <w:pPr>
              <w:rPr>
                <w:rFonts w:ascii="宋体" w:hAnsi="宋体" w:eastAsia="宋体" w:cs="宋体"/>
                <w:bCs/>
                <w:szCs w:val="21"/>
              </w:rPr>
            </w:pPr>
            <w:r>
              <w:rPr>
                <w:rFonts w:hint="eastAsia" w:ascii="宋体" w:hAnsi="宋体" w:eastAsia="宋体" w:cs="宋体"/>
                <w:bCs/>
                <w:szCs w:val="21"/>
              </w:rPr>
              <w:t>支持磁盘健康检测功能，实时检测及监控HDD健康状态，内容包括健康状态、规格、转速、温度、错误告警等参数；支持实时展示SSD硬盘寿命功能，在图形界面通过百分比方式展示SSD硬盘剩余寿命，作为及时更换硬盘提供信息支撑，避免硬盘寿命到期后导致的存储数据丢失和性能下降。</w:t>
            </w:r>
          </w:p>
        </w:tc>
      </w:tr>
      <w:tr w14:paraId="2B3E5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15" w:type="pct"/>
            <w:vMerge w:val="continue"/>
            <w:shd w:val="clear" w:color="auto" w:fill="auto"/>
            <w:vAlign w:val="center"/>
          </w:tcPr>
          <w:p w14:paraId="0A8B41AF">
            <w:pPr>
              <w:jc w:val="center"/>
              <w:rPr>
                <w:rFonts w:ascii="宋体" w:hAnsi="宋体" w:eastAsia="宋体" w:cs="宋体"/>
                <w:bCs/>
                <w:szCs w:val="21"/>
              </w:rPr>
            </w:pPr>
          </w:p>
        </w:tc>
        <w:tc>
          <w:tcPr>
            <w:tcW w:w="4084" w:type="pct"/>
            <w:shd w:val="clear" w:color="auto" w:fill="auto"/>
            <w:vAlign w:val="center"/>
          </w:tcPr>
          <w:p w14:paraId="07A7B87A">
            <w:pPr>
              <w:rPr>
                <w:rFonts w:ascii="宋体" w:hAnsi="宋体" w:eastAsia="宋体" w:cs="宋体"/>
                <w:bCs/>
                <w:szCs w:val="21"/>
              </w:rPr>
            </w:pPr>
            <w:r>
              <w:rPr>
                <w:rFonts w:hint="eastAsia" w:ascii="宋体" w:hAnsi="宋体" w:eastAsia="宋体" w:cs="宋体"/>
                <w:bCs/>
                <w:szCs w:val="21"/>
              </w:rPr>
              <w:t>要求超融合分布式存储提供文件存储、块存储、对象存储服务，可以向外部系统提供对象存储服务，块存储支持SCSI及iSCSI接口,可以支持iSCSI加密传输；文件存储支持CIFS及NFS接口；对象存储支持S3及Swift接口，支持SSL加密传输，满足非结构化数据存储需求，同时支持存储的QoS设置（需提供具备CNAS/CMA资质的第三方测试机构（如“工信部中国泰尔实验室”）测试报告证明材料或截图证明材料）</w:t>
            </w:r>
          </w:p>
        </w:tc>
      </w:tr>
      <w:tr w14:paraId="7A2AF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15" w:type="pct"/>
            <w:vMerge w:val="continue"/>
            <w:shd w:val="clear" w:color="auto" w:fill="auto"/>
            <w:vAlign w:val="center"/>
          </w:tcPr>
          <w:p w14:paraId="2F06FDE4">
            <w:pPr>
              <w:jc w:val="center"/>
              <w:rPr>
                <w:rFonts w:ascii="宋体" w:hAnsi="宋体" w:eastAsia="宋体" w:cs="宋体"/>
                <w:bCs/>
                <w:szCs w:val="21"/>
              </w:rPr>
            </w:pPr>
          </w:p>
        </w:tc>
        <w:tc>
          <w:tcPr>
            <w:tcW w:w="4084" w:type="pct"/>
            <w:shd w:val="clear" w:color="auto" w:fill="auto"/>
            <w:vAlign w:val="center"/>
          </w:tcPr>
          <w:p w14:paraId="283B9AA1">
            <w:pPr>
              <w:rPr>
                <w:rFonts w:ascii="宋体" w:hAnsi="宋体" w:eastAsia="宋体" w:cs="宋体"/>
                <w:bCs/>
                <w:szCs w:val="21"/>
              </w:rPr>
            </w:pPr>
            <w:r>
              <w:rPr>
                <w:rFonts w:hint="eastAsia" w:ascii="宋体" w:hAnsi="宋体" w:eastAsia="宋体" w:cs="宋体"/>
                <w:bCs/>
                <w:szCs w:val="21"/>
              </w:rPr>
              <w:t>支持快照数据在线可见，可随时查看和读取快照数据，如当VM内文件发生误操作、误删、中毒、系统配置文件更改时，可以通过该功能对比查看快照时刻VM内的文件，而无需执行VM快照回滚或者恢复，提升使用便捷性。</w:t>
            </w:r>
          </w:p>
        </w:tc>
      </w:tr>
      <w:tr w14:paraId="7352B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15" w:type="pct"/>
            <w:vMerge w:val="continue"/>
            <w:shd w:val="clear" w:color="auto" w:fill="auto"/>
            <w:vAlign w:val="center"/>
          </w:tcPr>
          <w:p w14:paraId="76118496">
            <w:pPr>
              <w:jc w:val="center"/>
              <w:rPr>
                <w:rFonts w:ascii="宋体" w:hAnsi="宋体" w:eastAsia="宋体" w:cs="宋体"/>
                <w:bCs/>
                <w:szCs w:val="21"/>
              </w:rPr>
            </w:pPr>
          </w:p>
        </w:tc>
        <w:tc>
          <w:tcPr>
            <w:tcW w:w="4084" w:type="pct"/>
            <w:shd w:val="clear" w:color="auto" w:fill="auto"/>
            <w:vAlign w:val="center"/>
          </w:tcPr>
          <w:p w14:paraId="329108D7">
            <w:pPr>
              <w:rPr>
                <w:rFonts w:ascii="宋体" w:hAnsi="宋体" w:eastAsia="宋体" w:cs="宋体"/>
                <w:bCs/>
                <w:szCs w:val="21"/>
              </w:rPr>
            </w:pPr>
            <w:r>
              <w:rPr>
                <w:rFonts w:hint="eastAsia" w:ascii="宋体" w:hAnsi="宋体" w:eastAsia="宋体" w:cs="宋体"/>
                <w:bCs/>
                <w:szCs w:val="21"/>
              </w:rPr>
              <w:t>支持数据的全链路加密传输，从应用接收到数据后立刻完成数据加密，直到数据最终以加密的形式存储于硬盘中。加密包括传输加密和全盘数据加密。</w:t>
            </w:r>
          </w:p>
        </w:tc>
      </w:tr>
      <w:tr w14:paraId="0611A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15" w:type="pct"/>
            <w:vMerge w:val="continue"/>
            <w:shd w:val="clear" w:color="auto" w:fill="auto"/>
            <w:vAlign w:val="center"/>
          </w:tcPr>
          <w:p w14:paraId="2937079B">
            <w:pPr>
              <w:jc w:val="center"/>
              <w:rPr>
                <w:rFonts w:ascii="宋体" w:hAnsi="宋体" w:eastAsia="宋体" w:cs="宋体"/>
                <w:bCs/>
                <w:szCs w:val="21"/>
              </w:rPr>
            </w:pPr>
          </w:p>
        </w:tc>
        <w:tc>
          <w:tcPr>
            <w:tcW w:w="4084" w:type="pct"/>
            <w:shd w:val="clear" w:color="auto" w:fill="auto"/>
            <w:vAlign w:val="center"/>
          </w:tcPr>
          <w:p w14:paraId="41873A6B">
            <w:pPr>
              <w:rPr>
                <w:rFonts w:ascii="宋体" w:hAnsi="宋体" w:eastAsia="宋体" w:cs="宋体"/>
                <w:bCs/>
                <w:szCs w:val="21"/>
              </w:rPr>
            </w:pPr>
            <w:bookmarkStart w:id="0" w:name="_Hlk54279855"/>
            <w:r>
              <w:rPr>
                <w:rFonts w:hint="eastAsia" w:ascii="宋体" w:hAnsi="宋体" w:eastAsia="宋体" w:cs="宋体"/>
                <w:bCs/>
                <w:szCs w:val="21"/>
              </w:rPr>
              <w:t>★超融合内部的分布式存储支持基于存储卷级别的灵活副本设定，可以针对不同场景对不同的存储卷灵活配置不同级别的副本数，最小支持2副本，最高支持6个副本，并可以支持动态在线增加和删除副本，不需停机即可操作。</w:t>
            </w:r>
            <w:bookmarkEnd w:id="0"/>
            <w:r>
              <w:rPr>
                <w:rFonts w:hint="eastAsia" w:ascii="宋体" w:hAnsi="宋体" w:eastAsia="宋体" w:cs="宋体"/>
                <w:bCs/>
                <w:szCs w:val="21"/>
              </w:rPr>
              <w:t>（需提供具备CNAS/CMA资质的第三方测试机构（如“工信部中国泰尔实验室”）测试报告证明材料或截图证明材料）</w:t>
            </w:r>
          </w:p>
        </w:tc>
      </w:tr>
      <w:tr w14:paraId="6A5D2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15" w:type="pct"/>
            <w:vMerge w:val="continue"/>
            <w:shd w:val="clear" w:color="auto" w:fill="auto"/>
            <w:vAlign w:val="center"/>
          </w:tcPr>
          <w:p w14:paraId="0A6960A9">
            <w:pPr>
              <w:jc w:val="center"/>
              <w:rPr>
                <w:rFonts w:ascii="宋体" w:hAnsi="宋体" w:eastAsia="宋体" w:cs="宋体"/>
                <w:bCs/>
                <w:szCs w:val="21"/>
              </w:rPr>
            </w:pPr>
          </w:p>
        </w:tc>
        <w:tc>
          <w:tcPr>
            <w:tcW w:w="4084" w:type="pct"/>
            <w:shd w:val="clear" w:color="auto" w:fill="auto"/>
            <w:vAlign w:val="center"/>
          </w:tcPr>
          <w:p w14:paraId="2C21BC61">
            <w:pPr>
              <w:rPr>
                <w:rFonts w:ascii="宋体" w:hAnsi="宋体" w:eastAsia="宋体" w:cs="宋体"/>
                <w:bCs/>
                <w:szCs w:val="21"/>
              </w:rPr>
            </w:pPr>
            <w:r>
              <w:rPr>
                <w:rFonts w:hint="eastAsia" w:ascii="宋体" w:hAnsi="宋体" w:eastAsia="宋体" w:cs="宋体"/>
                <w:bCs/>
                <w:szCs w:val="21"/>
              </w:rPr>
              <w:t>支持存储分卷，在SSD+HDD混闪硬盘配置下，可将SSD组成一个高性能存储池，云服务器可以运行在SSD闪盘模式；将SSD与HDD组成一个大容量存储池，云服务器可以运行在HDD模式</w:t>
            </w:r>
          </w:p>
        </w:tc>
      </w:tr>
      <w:tr w14:paraId="25AE4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15" w:type="pct"/>
            <w:vMerge w:val="restart"/>
            <w:shd w:val="clear" w:color="auto" w:fill="auto"/>
            <w:vAlign w:val="center"/>
          </w:tcPr>
          <w:p w14:paraId="3AC706D9">
            <w:pPr>
              <w:jc w:val="center"/>
              <w:rPr>
                <w:rFonts w:ascii="宋体" w:hAnsi="宋体" w:eastAsia="宋体" w:cs="宋体"/>
                <w:bCs/>
                <w:szCs w:val="21"/>
              </w:rPr>
            </w:pPr>
            <w:r>
              <w:rPr>
                <w:rFonts w:hint="eastAsia" w:ascii="宋体" w:hAnsi="宋体" w:eastAsia="宋体" w:cs="宋体"/>
                <w:bCs/>
                <w:szCs w:val="21"/>
              </w:rPr>
              <w:t>网络虚拟化要求</w:t>
            </w:r>
          </w:p>
        </w:tc>
        <w:tc>
          <w:tcPr>
            <w:tcW w:w="4084" w:type="pct"/>
            <w:shd w:val="clear" w:color="auto" w:fill="auto"/>
            <w:vAlign w:val="center"/>
          </w:tcPr>
          <w:p w14:paraId="03E08448">
            <w:pPr>
              <w:rPr>
                <w:rFonts w:ascii="宋体" w:hAnsi="宋体" w:eastAsia="宋体" w:cs="宋体"/>
                <w:bCs/>
                <w:szCs w:val="21"/>
              </w:rPr>
            </w:pPr>
            <w:r>
              <w:rPr>
                <w:rFonts w:hint="eastAsia" w:ascii="宋体" w:hAnsi="宋体" w:eastAsia="宋体" w:cs="宋体"/>
                <w:bCs/>
                <w:szCs w:val="21"/>
              </w:rPr>
              <w:t>支持本地网络和VPC网络，支持通过鼠标拖拽网元及连线的方式构建可视化网络，实现网络环境的快速化构建；可以支持对整个平台虚拟设备的统一管理；可以支持在管理平台上连接、开启、关闭各类虚拟设备、拓扑可呈现网络流量信息，所见即所得。</w:t>
            </w:r>
          </w:p>
        </w:tc>
      </w:tr>
      <w:tr w14:paraId="1082A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15" w:type="pct"/>
            <w:vMerge w:val="continue"/>
            <w:shd w:val="clear" w:color="auto" w:fill="auto"/>
            <w:vAlign w:val="center"/>
          </w:tcPr>
          <w:p w14:paraId="510D16E0">
            <w:pPr>
              <w:jc w:val="center"/>
              <w:rPr>
                <w:rFonts w:ascii="宋体" w:hAnsi="宋体" w:eastAsia="宋体" w:cs="宋体"/>
                <w:bCs/>
                <w:szCs w:val="21"/>
              </w:rPr>
            </w:pPr>
          </w:p>
        </w:tc>
        <w:tc>
          <w:tcPr>
            <w:tcW w:w="4084" w:type="pct"/>
            <w:shd w:val="clear" w:color="auto" w:fill="auto"/>
            <w:vAlign w:val="center"/>
          </w:tcPr>
          <w:p w14:paraId="1974540F">
            <w:pPr>
              <w:rPr>
                <w:rFonts w:ascii="宋体" w:hAnsi="宋体" w:eastAsia="宋体" w:cs="宋体"/>
                <w:bCs/>
                <w:szCs w:val="21"/>
              </w:rPr>
            </w:pPr>
            <w:r>
              <w:rPr>
                <w:rFonts w:hint="eastAsia" w:ascii="宋体" w:hAnsi="宋体" w:eastAsia="宋体" w:cs="宋体"/>
                <w:bCs/>
                <w:szCs w:val="21"/>
              </w:rPr>
              <w:t>支持配置Geneve、vlan、vxlan、local等主流虚拟化网络，满足大二层网络需求</w:t>
            </w:r>
          </w:p>
        </w:tc>
      </w:tr>
      <w:tr w14:paraId="22B92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15" w:type="pct"/>
            <w:vMerge w:val="continue"/>
            <w:shd w:val="clear" w:color="auto" w:fill="auto"/>
            <w:vAlign w:val="center"/>
          </w:tcPr>
          <w:p w14:paraId="68EA27AD">
            <w:pPr>
              <w:jc w:val="center"/>
              <w:rPr>
                <w:rFonts w:ascii="宋体" w:hAnsi="宋体" w:eastAsia="宋体" w:cs="宋体"/>
                <w:bCs/>
                <w:szCs w:val="21"/>
              </w:rPr>
            </w:pPr>
          </w:p>
        </w:tc>
        <w:tc>
          <w:tcPr>
            <w:tcW w:w="4084" w:type="pct"/>
            <w:shd w:val="clear" w:color="auto" w:fill="auto"/>
            <w:vAlign w:val="center"/>
          </w:tcPr>
          <w:p w14:paraId="78734FFE">
            <w:pPr>
              <w:rPr>
                <w:rFonts w:ascii="宋体" w:hAnsi="宋体" w:eastAsia="宋体" w:cs="宋体"/>
                <w:bCs/>
                <w:szCs w:val="21"/>
              </w:rPr>
            </w:pPr>
            <w:r>
              <w:rPr>
                <w:rFonts w:hint="eastAsia" w:ascii="宋体" w:hAnsi="宋体" w:eastAsia="宋体" w:cs="宋体"/>
                <w:bCs/>
                <w:szCs w:val="21"/>
              </w:rPr>
              <w:t>支持灵活的链路聚合功能，提供主备链路和双活链路可选，满足网络故障切换和负载均衡能力。</w:t>
            </w:r>
          </w:p>
        </w:tc>
      </w:tr>
      <w:tr w14:paraId="46414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15" w:type="pct"/>
            <w:vMerge w:val="continue"/>
            <w:shd w:val="clear" w:color="auto" w:fill="auto"/>
            <w:vAlign w:val="center"/>
          </w:tcPr>
          <w:p w14:paraId="08BD77E3">
            <w:pPr>
              <w:jc w:val="center"/>
              <w:rPr>
                <w:rFonts w:ascii="宋体" w:hAnsi="宋体" w:eastAsia="宋体" w:cs="宋体"/>
                <w:bCs/>
                <w:szCs w:val="21"/>
              </w:rPr>
            </w:pPr>
          </w:p>
        </w:tc>
        <w:tc>
          <w:tcPr>
            <w:tcW w:w="4084" w:type="pct"/>
            <w:shd w:val="clear" w:color="auto" w:fill="auto"/>
            <w:vAlign w:val="center"/>
          </w:tcPr>
          <w:p w14:paraId="5074EE24">
            <w:pPr>
              <w:rPr>
                <w:rFonts w:ascii="宋体" w:hAnsi="宋体" w:eastAsia="宋体" w:cs="宋体"/>
                <w:bCs/>
                <w:szCs w:val="21"/>
              </w:rPr>
            </w:pPr>
            <w:r>
              <w:rPr>
                <w:rFonts w:hint="eastAsia" w:ascii="宋体" w:hAnsi="宋体" w:eastAsia="宋体" w:cs="宋体"/>
                <w:bCs/>
                <w:szCs w:val="21"/>
              </w:rPr>
              <w:t>支持网络微分段URL黑白名单功能，实现针对 HTTP和HTTPS进行管理限制，实现安全访问控制。关联黑名单后，不可以访问黑名单内URL；关联白名单后，只可以访问白名单内URL。URL输入格式支持前缀匹配，后缀匹配，关键字匹配和精准匹配。</w:t>
            </w:r>
          </w:p>
        </w:tc>
      </w:tr>
      <w:tr w14:paraId="46668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15" w:type="pct"/>
            <w:vMerge w:val="continue"/>
            <w:shd w:val="clear" w:color="auto" w:fill="auto"/>
            <w:vAlign w:val="center"/>
          </w:tcPr>
          <w:p w14:paraId="4F1DCA2F">
            <w:pPr>
              <w:jc w:val="center"/>
              <w:rPr>
                <w:rFonts w:ascii="宋体" w:hAnsi="宋体" w:eastAsia="宋体" w:cs="宋体"/>
                <w:bCs/>
                <w:szCs w:val="21"/>
              </w:rPr>
            </w:pPr>
          </w:p>
        </w:tc>
        <w:tc>
          <w:tcPr>
            <w:tcW w:w="4084" w:type="pct"/>
            <w:shd w:val="clear" w:color="auto" w:fill="auto"/>
            <w:vAlign w:val="center"/>
          </w:tcPr>
          <w:p w14:paraId="00E95F63">
            <w:pPr>
              <w:rPr>
                <w:rFonts w:ascii="宋体" w:hAnsi="宋体" w:eastAsia="宋体" w:cs="宋体"/>
                <w:bCs/>
                <w:szCs w:val="21"/>
              </w:rPr>
            </w:pPr>
            <w:r>
              <w:rPr>
                <w:rFonts w:hint="eastAsia" w:ascii="宋体" w:hAnsi="宋体" w:eastAsia="宋体" w:cs="宋体"/>
                <w:bCs/>
                <w:szCs w:val="21"/>
              </w:rPr>
              <w:t>支持在图形管理界面中提供IP资源池管理功能，IP资源由系统从IP资源池统一分配和变更 。</w:t>
            </w:r>
          </w:p>
        </w:tc>
      </w:tr>
      <w:tr w14:paraId="0F6F3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15" w:type="pct"/>
            <w:vMerge w:val="continue"/>
            <w:shd w:val="clear" w:color="auto" w:fill="auto"/>
            <w:vAlign w:val="center"/>
          </w:tcPr>
          <w:p w14:paraId="2CCDF723">
            <w:pPr>
              <w:jc w:val="center"/>
              <w:rPr>
                <w:rFonts w:ascii="宋体" w:hAnsi="宋体" w:eastAsia="宋体" w:cs="宋体"/>
                <w:bCs/>
                <w:szCs w:val="21"/>
              </w:rPr>
            </w:pPr>
          </w:p>
        </w:tc>
        <w:tc>
          <w:tcPr>
            <w:tcW w:w="4084" w:type="pct"/>
            <w:shd w:val="clear" w:color="auto" w:fill="auto"/>
            <w:vAlign w:val="center"/>
          </w:tcPr>
          <w:p w14:paraId="00EAFE56">
            <w:pPr>
              <w:rPr>
                <w:rFonts w:ascii="宋体" w:hAnsi="宋体" w:eastAsia="宋体" w:cs="宋体"/>
                <w:bCs/>
                <w:szCs w:val="21"/>
              </w:rPr>
            </w:pPr>
            <w:r>
              <w:rPr>
                <w:rFonts w:hint="eastAsia" w:ascii="宋体" w:hAnsi="宋体" w:eastAsia="宋体" w:cs="宋体"/>
                <w:bCs/>
                <w:szCs w:val="21"/>
              </w:rPr>
              <w:t>支持云服务器等设备的链路探测功能，支持虚拟网卡和物理网卡的拓扑应对，方便在虚拟化环境中进行相应的故障排除和恢复。</w:t>
            </w:r>
          </w:p>
        </w:tc>
      </w:tr>
      <w:tr w14:paraId="52401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15" w:type="pct"/>
            <w:vMerge w:val="continue"/>
            <w:shd w:val="clear" w:color="auto" w:fill="auto"/>
            <w:vAlign w:val="center"/>
          </w:tcPr>
          <w:p w14:paraId="5C0038F1">
            <w:pPr>
              <w:jc w:val="center"/>
              <w:rPr>
                <w:rFonts w:ascii="宋体" w:hAnsi="宋体" w:eastAsia="宋体" w:cs="宋体"/>
                <w:bCs/>
                <w:szCs w:val="21"/>
              </w:rPr>
            </w:pPr>
          </w:p>
        </w:tc>
        <w:tc>
          <w:tcPr>
            <w:tcW w:w="4084" w:type="pct"/>
            <w:shd w:val="clear" w:color="auto" w:fill="auto"/>
            <w:vAlign w:val="center"/>
          </w:tcPr>
          <w:p w14:paraId="514D2871">
            <w:pPr>
              <w:rPr>
                <w:rFonts w:ascii="宋体" w:hAnsi="宋体" w:eastAsia="宋体" w:cs="宋体"/>
                <w:bCs/>
                <w:szCs w:val="21"/>
              </w:rPr>
            </w:pPr>
            <w:r>
              <w:rPr>
                <w:rFonts w:hint="eastAsia" w:ascii="宋体" w:hAnsi="宋体" w:eastAsia="宋体" w:cs="宋体"/>
                <w:bCs/>
                <w:szCs w:val="21"/>
                <w:lang w:eastAsia="zh-Hans"/>
              </w:rPr>
              <w:t>支持网络拓扑流量监控，能够在网络拓扑图中显示云服务器网卡的上/下行吞吐量、上/下行包速率、安全组信息等</w:t>
            </w:r>
          </w:p>
        </w:tc>
      </w:tr>
      <w:tr w14:paraId="73EF8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15" w:type="pct"/>
            <w:vMerge w:val="restart"/>
            <w:shd w:val="clear" w:color="auto" w:fill="auto"/>
            <w:vAlign w:val="center"/>
          </w:tcPr>
          <w:p w14:paraId="4256415D">
            <w:pPr>
              <w:jc w:val="center"/>
              <w:rPr>
                <w:rFonts w:ascii="宋体" w:hAnsi="宋体" w:eastAsia="宋体" w:cs="宋体"/>
                <w:bCs/>
                <w:szCs w:val="21"/>
              </w:rPr>
            </w:pPr>
            <w:r>
              <w:rPr>
                <w:rFonts w:hint="eastAsia" w:ascii="宋体" w:hAnsi="宋体" w:eastAsia="宋体" w:cs="宋体"/>
                <w:bCs/>
                <w:szCs w:val="21"/>
              </w:rPr>
              <w:t>云管理平台软件要求</w:t>
            </w:r>
          </w:p>
        </w:tc>
        <w:tc>
          <w:tcPr>
            <w:tcW w:w="4084" w:type="pct"/>
            <w:shd w:val="clear" w:color="auto" w:fill="auto"/>
            <w:vAlign w:val="center"/>
          </w:tcPr>
          <w:p w14:paraId="06AA5CCB">
            <w:pPr>
              <w:rPr>
                <w:rFonts w:ascii="宋体" w:hAnsi="宋体" w:eastAsia="宋体" w:cs="宋体"/>
                <w:bCs/>
                <w:szCs w:val="21"/>
              </w:rPr>
            </w:pPr>
            <w:r>
              <w:rPr>
                <w:rFonts w:hint="eastAsia" w:ascii="宋体" w:hAnsi="宋体" w:eastAsia="宋体" w:cs="宋体"/>
                <w:bCs/>
                <w:szCs w:val="21"/>
              </w:rPr>
              <w:t>★支持对VMware vSphere环境进行纳管，提供不限制VMware云服务器数量的管理授权，支持与VMware环境的双向云服务器在线迁移，提供不限制云服务器数量的双向迁移授权，支持VMware云服务器资源（池）的生命周期管理，包括创建、克隆、迁移、挂起、配置、删除、查询和转换为模板等操作（（需提供具备CNAS/CMA资质的第三方测试机构（如“工信部中国泰尔实验室”）测试报告证明材料或截图证明材料）</w:t>
            </w:r>
          </w:p>
        </w:tc>
      </w:tr>
      <w:tr w14:paraId="4ACB0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15" w:type="pct"/>
            <w:vMerge w:val="continue"/>
            <w:shd w:val="clear" w:color="auto" w:fill="auto"/>
            <w:vAlign w:val="center"/>
          </w:tcPr>
          <w:p w14:paraId="0F3F1D7D">
            <w:pPr>
              <w:jc w:val="center"/>
              <w:rPr>
                <w:rFonts w:ascii="宋体" w:hAnsi="宋体" w:eastAsia="宋体" w:cs="宋体"/>
                <w:bCs/>
                <w:szCs w:val="21"/>
              </w:rPr>
            </w:pPr>
          </w:p>
        </w:tc>
        <w:tc>
          <w:tcPr>
            <w:tcW w:w="4084" w:type="pct"/>
            <w:shd w:val="clear" w:color="auto" w:fill="auto"/>
            <w:vAlign w:val="center"/>
          </w:tcPr>
          <w:p w14:paraId="3B69A3BF">
            <w:pPr>
              <w:rPr>
                <w:rFonts w:ascii="宋体" w:hAnsi="宋体" w:eastAsia="宋体" w:cs="宋体"/>
                <w:bCs/>
                <w:szCs w:val="21"/>
              </w:rPr>
            </w:pPr>
            <w:r>
              <w:rPr>
                <w:rFonts w:hint="eastAsia" w:ascii="宋体" w:hAnsi="宋体" w:eastAsia="宋体" w:cs="宋体"/>
                <w:bCs/>
                <w:szCs w:val="21"/>
              </w:rPr>
              <w:t>支持对VMware集群云服务器进行备份。</w:t>
            </w:r>
          </w:p>
        </w:tc>
      </w:tr>
      <w:tr w14:paraId="20B80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15" w:type="pct"/>
            <w:vMerge w:val="continue"/>
            <w:shd w:val="clear" w:color="auto" w:fill="auto"/>
            <w:vAlign w:val="center"/>
          </w:tcPr>
          <w:p w14:paraId="513A9502">
            <w:pPr>
              <w:jc w:val="center"/>
              <w:rPr>
                <w:rFonts w:ascii="宋体" w:hAnsi="宋体" w:eastAsia="宋体" w:cs="宋体"/>
                <w:bCs/>
                <w:szCs w:val="21"/>
              </w:rPr>
            </w:pPr>
          </w:p>
        </w:tc>
        <w:tc>
          <w:tcPr>
            <w:tcW w:w="4084" w:type="pct"/>
            <w:shd w:val="clear" w:color="auto" w:fill="auto"/>
            <w:vAlign w:val="center"/>
          </w:tcPr>
          <w:p w14:paraId="158C7DBC">
            <w:pPr>
              <w:rPr>
                <w:rFonts w:ascii="宋体" w:hAnsi="宋体" w:eastAsia="宋体" w:cs="宋体"/>
                <w:bCs/>
                <w:szCs w:val="21"/>
              </w:rPr>
            </w:pPr>
            <w:r>
              <w:rPr>
                <w:rFonts w:hint="eastAsia" w:ascii="宋体" w:hAnsi="宋体" w:eastAsia="宋体" w:cs="宋体"/>
                <w:bCs/>
                <w:szCs w:val="21"/>
              </w:rPr>
              <w:t>支持对超融合集群、桌面云集群、VMware集群、容器云集群的统一管理，实现云服务器、VDI的日常运维操作管理、镜像仓库管理等。</w:t>
            </w:r>
          </w:p>
        </w:tc>
      </w:tr>
      <w:tr w14:paraId="141A2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15" w:type="pct"/>
            <w:vMerge w:val="continue"/>
            <w:shd w:val="clear" w:color="auto" w:fill="auto"/>
            <w:vAlign w:val="center"/>
          </w:tcPr>
          <w:p w14:paraId="6AFF7624">
            <w:pPr>
              <w:jc w:val="center"/>
              <w:rPr>
                <w:rFonts w:ascii="宋体" w:hAnsi="宋体" w:eastAsia="宋体" w:cs="宋体"/>
                <w:bCs/>
                <w:szCs w:val="21"/>
              </w:rPr>
            </w:pPr>
          </w:p>
        </w:tc>
        <w:tc>
          <w:tcPr>
            <w:tcW w:w="4084" w:type="pct"/>
            <w:shd w:val="clear" w:color="auto" w:fill="auto"/>
            <w:vAlign w:val="center"/>
          </w:tcPr>
          <w:p w14:paraId="08827E25">
            <w:pPr>
              <w:rPr>
                <w:rFonts w:ascii="宋体" w:hAnsi="宋体" w:eastAsia="宋体" w:cs="宋体"/>
                <w:bCs/>
                <w:szCs w:val="21"/>
              </w:rPr>
            </w:pPr>
            <w:r>
              <w:rPr>
                <w:rFonts w:hint="eastAsia" w:ascii="宋体" w:hAnsi="宋体" w:eastAsia="宋体" w:cs="宋体"/>
                <w:bCs/>
                <w:szCs w:val="21"/>
              </w:rPr>
              <w:t>能够实现跨集群间迁移云服务器、VDI资源、跨平台迁移云服务器。</w:t>
            </w:r>
          </w:p>
        </w:tc>
      </w:tr>
      <w:tr w14:paraId="20375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15" w:type="pct"/>
            <w:vMerge w:val="continue"/>
            <w:shd w:val="clear" w:color="auto" w:fill="auto"/>
            <w:vAlign w:val="center"/>
          </w:tcPr>
          <w:p w14:paraId="3CB304B1">
            <w:pPr>
              <w:jc w:val="center"/>
              <w:rPr>
                <w:rFonts w:ascii="宋体" w:hAnsi="宋体" w:eastAsia="宋体" w:cs="宋体"/>
                <w:bCs/>
                <w:szCs w:val="21"/>
              </w:rPr>
            </w:pPr>
          </w:p>
        </w:tc>
        <w:tc>
          <w:tcPr>
            <w:tcW w:w="4084" w:type="pct"/>
            <w:shd w:val="clear" w:color="auto" w:fill="auto"/>
            <w:vAlign w:val="center"/>
          </w:tcPr>
          <w:p w14:paraId="4D1F86BC">
            <w:pPr>
              <w:rPr>
                <w:rFonts w:ascii="宋体" w:hAnsi="宋体" w:eastAsia="宋体" w:cs="宋体"/>
                <w:bCs/>
                <w:szCs w:val="21"/>
              </w:rPr>
            </w:pPr>
            <w:r>
              <w:rPr>
                <w:rFonts w:hint="eastAsia" w:ascii="宋体" w:hAnsi="宋体" w:eastAsia="宋体" w:cs="宋体"/>
                <w:bCs/>
                <w:szCs w:val="21"/>
              </w:rPr>
              <w:t>支持集群配置元数据备份功能，可以定义备份策略，策略包括备份周期、保留份数及备份位置，备份位置包含本地或远端，出现问题时可以快速恢复</w:t>
            </w:r>
          </w:p>
        </w:tc>
      </w:tr>
      <w:tr w14:paraId="240ED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15" w:type="pct"/>
            <w:vMerge w:val="restart"/>
            <w:shd w:val="clear" w:color="auto" w:fill="auto"/>
            <w:vAlign w:val="center"/>
          </w:tcPr>
          <w:p w14:paraId="25B0B6FE">
            <w:pPr>
              <w:jc w:val="center"/>
              <w:rPr>
                <w:rFonts w:ascii="宋体" w:hAnsi="宋体" w:eastAsia="宋体" w:cs="宋体"/>
                <w:bCs/>
                <w:szCs w:val="21"/>
              </w:rPr>
            </w:pPr>
            <w:r>
              <w:rPr>
                <w:rFonts w:hint="eastAsia" w:ascii="宋体" w:hAnsi="宋体" w:eastAsia="宋体" w:cs="宋体"/>
                <w:bCs/>
                <w:szCs w:val="21"/>
              </w:rPr>
              <w:t>资质要求</w:t>
            </w:r>
          </w:p>
        </w:tc>
        <w:tc>
          <w:tcPr>
            <w:tcW w:w="4084" w:type="pct"/>
            <w:shd w:val="clear" w:color="auto" w:fill="auto"/>
            <w:vAlign w:val="center"/>
          </w:tcPr>
          <w:p w14:paraId="1BE7D19E">
            <w:pPr>
              <w:rPr>
                <w:rFonts w:ascii="宋体" w:hAnsi="宋体" w:eastAsia="宋体" w:cs="宋体"/>
                <w:bCs/>
                <w:szCs w:val="21"/>
              </w:rPr>
            </w:pPr>
            <w:r>
              <w:rPr>
                <w:rFonts w:hint="eastAsia" w:ascii="宋体" w:hAnsi="宋体" w:eastAsia="宋体" w:cs="宋体"/>
                <w:bCs/>
                <w:szCs w:val="21"/>
              </w:rPr>
              <w:t>超融合产品通过中国泰尔实验室、中国信息通信研究院和云计算开源产业联盟的超融合解决方案评估，符合《面向云计算的超融合系统技术要求》（需提供证书复印件）</w:t>
            </w:r>
          </w:p>
        </w:tc>
      </w:tr>
      <w:tr w14:paraId="25366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15" w:type="pct"/>
            <w:vMerge w:val="continue"/>
            <w:shd w:val="clear" w:color="auto" w:fill="auto"/>
            <w:vAlign w:val="center"/>
          </w:tcPr>
          <w:p w14:paraId="27AE033D">
            <w:pPr>
              <w:jc w:val="center"/>
              <w:rPr>
                <w:rFonts w:ascii="宋体" w:hAnsi="宋体" w:eastAsia="宋体" w:cs="宋体"/>
                <w:bCs/>
                <w:szCs w:val="21"/>
              </w:rPr>
            </w:pPr>
          </w:p>
        </w:tc>
        <w:tc>
          <w:tcPr>
            <w:tcW w:w="4084" w:type="pct"/>
            <w:shd w:val="clear" w:color="auto" w:fill="auto"/>
            <w:vAlign w:val="center"/>
          </w:tcPr>
          <w:p w14:paraId="05D790B7">
            <w:pPr>
              <w:rPr>
                <w:rFonts w:ascii="宋体" w:hAnsi="宋体" w:eastAsia="宋体" w:cs="宋体"/>
                <w:bCs/>
                <w:szCs w:val="21"/>
              </w:rPr>
            </w:pPr>
            <w:r>
              <w:rPr>
                <w:rFonts w:hint="eastAsia" w:ascii="宋体" w:hAnsi="宋体" w:eastAsia="宋体" w:cs="宋体"/>
                <w:bCs/>
                <w:szCs w:val="21"/>
              </w:rPr>
              <w:t>★为保障超融合产品的核心功能模块为厂商自主原创，超融合系统核心功能模块应通过中国信息安全测评中心的自主原创产品测评。（需提供证书复印件章）</w:t>
            </w:r>
          </w:p>
        </w:tc>
      </w:tr>
      <w:tr w14:paraId="58A86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15" w:type="pct"/>
            <w:vMerge w:val="continue"/>
            <w:shd w:val="clear" w:color="auto" w:fill="auto"/>
            <w:vAlign w:val="center"/>
          </w:tcPr>
          <w:p w14:paraId="0B2BB433">
            <w:pPr>
              <w:jc w:val="center"/>
              <w:rPr>
                <w:rFonts w:ascii="宋体" w:hAnsi="宋体" w:eastAsia="宋体" w:cs="宋体"/>
                <w:bCs/>
                <w:szCs w:val="21"/>
              </w:rPr>
            </w:pPr>
          </w:p>
        </w:tc>
        <w:tc>
          <w:tcPr>
            <w:tcW w:w="4084" w:type="pct"/>
            <w:shd w:val="clear" w:color="auto" w:fill="auto"/>
            <w:vAlign w:val="center"/>
          </w:tcPr>
          <w:p w14:paraId="69221A6A">
            <w:pPr>
              <w:rPr>
                <w:rFonts w:ascii="宋体" w:hAnsi="宋体" w:eastAsia="宋体" w:cs="宋体"/>
                <w:bCs/>
                <w:szCs w:val="21"/>
              </w:rPr>
            </w:pPr>
            <w:r>
              <w:rPr>
                <w:rFonts w:hint="eastAsia" w:ascii="宋体" w:hAnsi="宋体" w:eastAsia="宋体" w:cs="宋体"/>
                <w:bCs/>
                <w:szCs w:val="21"/>
              </w:rPr>
              <w:t>为保障云平台厂商的信息系统建设及服务能力，厂商应通过4级信息系统建设及服务能力评估（需提供证书复印件章）</w:t>
            </w:r>
          </w:p>
        </w:tc>
      </w:tr>
      <w:tr w14:paraId="1D235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15" w:type="pct"/>
            <w:vMerge w:val="continue"/>
            <w:shd w:val="clear" w:color="auto" w:fill="auto"/>
            <w:vAlign w:val="center"/>
          </w:tcPr>
          <w:p w14:paraId="54948354">
            <w:pPr>
              <w:jc w:val="center"/>
              <w:rPr>
                <w:rFonts w:ascii="宋体" w:hAnsi="宋体" w:eastAsia="宋体" w:cs="宋体"/>
                <w:bCs/>
                <w:szCs w:val="21"/>
              </w:rPr>
            </w:pPr>
          </w:p>
        </w:tc>
        <w:tc>
          <w:tcPr>
            <w:tcW w:w="4084" w:type="pct"/>
            <w:shd w:val="clear" w:color="auto" w:fill="auto"/>
            <w:vAlign w:val="center"/>
          </w:tcPr>
          <w:p w14:paraId="5C9CB51A">
            <w:pPr>
              <w:rPr>
                <w:rFonts w:ascii="宋体" w:hAnsi="宋体" w:eastAsia="宋体" w:cs="宋体"/>
                <w:bCs/>
                <w:szCs w:val="21"/>
              </w:rPr>
            </w:pPr>
            <w:r>
              <w:rPr>
                <w:rFonts w:hint="eastAsia" w:ascii="宋体" w:hAnsi="宋体" w:eastAsia="宋体" w:cs="宋体"/>
                <w:bCs/>
                <w:szCs w:val="21"/>
              </w:rPr>
              <w:t>★为确保产品的稳定可靠，具备强大的应急响应能力，在使用过程中不会给业务系统带来安全风险，厂商应通过电讯业质量管理体系TL9000认证（需提供证书复印件章）</w:t>
            </w:r>
          </w:p>
        </w:tc>
      </w:tr>
    </w:tbl>
    <w:p w14:paraId="7B631FB4"/>
    <w:p w14:paraId="40288156"/>
    <w:p w14:paraId="0AC7592A">
      <w:pPr>
        <w:rPr>
          <w:rFonts w:ascii="宋体" w:hAnsi="宋体" w:eastAsia="宋体" w:cs="Calibri"/>
          <w:b/>
          <w:bCs/>
          <w:color w:val="000000"/>
          <w:szCs w:val="21"/>
        </w:rPr>
      </w:pPr>
    </w:p>
    <w:p w14:paraId="18C7ADA9">
      <w:pPr>
        <w:rPr>
          <w:rFonts w:ascii="宋体" w:hAnsi="宋体" w:eastAsia="宋体" w:cs="Calibri"/>
          <w:b/>
          <w:bCs/>
          <w:color w:val="000000"/>
          <w:szCs w:val="21"/>
        </w:rPr>
      </w:pPr>
    </w:p>
    <w:p w14:paraId="4E9B50ED">
      <w:pPr>
        <w:rPr>
          <w:rFonts w:ascii="宋体" w:hAnsi="宋体" w:eastAsia="宋体" w:cs="Calibri"/>
          <w:b/>
          <w:bCs/>
          <w:color w:val="000000"/>
          <w:szCs w:val="21"/>
        </w:rPr>
      </w:pPr>
    </w:p>
    <w:p w14:paraId="5C39D747">
      <w:pPr>
        <w:rPr>
          <w:rFonts w:ascii="宋体" w:hAnsi="宋体" w:eastAsia="宋体" w:cs="Calibri"/>
          <w:b/>
          <w:bCs/>
          <w:color w:val="000000"/>
          <w:szCs w:val="21"/>
        </w:rPr>
      </w:pPr>
    </w:p>
    <w:p w14:paraId="2B93486A">
      <w:pPr>
        <w:rPr>
          <w:rFonts w:hint="default" w:ascii="宋体" w:hAnsi="宋体" w:eastAsia="宋体" w:cs="Calibri"/>
          <w:b/>
          <w:bCs/>
          <w:color w:val="000000"/>
          <w:szCs w:val="21"/>
          <w:lang w:val="en-US" w:eastAsia="zh-CN"/>
        </w:rPr>
      </w:pPr>
      <w:r>
        <w:rPr>
          <w:rFonts w:hint="eastAsia" w:ascii="宋体" w:hAnsi="宋体" w:eastAsia="宋体" w:cs="Calibri"/>
          <w:b/>
          <w:bCs/>
          <w:color w:val="000000"/>
          <w:szCs w:val="21"/>
          <w:lang w:val="en-US" w:eastAsia="zh-CN"/>
        </w:rPr>
        <w:t>标段二：新院区机房和网络设备增补项目（预算30万）</w:t>
      </w:r>
    </w:p>
    <w:p w14:paraId="396FE854">
      <w:pPr>
        <w:rPr>
          <w:rFonts w:hint="eastAsia"/>
        </w:rPr>
      </w:pPr>
    </w:p>
    <w:p w14:paraId="17A6CC82">
      <w:pPr>
        <w:rPr>
          <w:rFonts w:hint="eastAsia" w:ascii="宋体" w:hAnsi="宋体" w:eastAsia="宋体" w:cs="Calibri"/>
          <w:b/>
          <w:bCs/>
          <w:color w:val="000000"/>
          <w:sz w:val="21"/>
          <w:szCs w:val="21"/>
        </w:rPr>
      </w:pPr>
      <w:r>
        <w:rPr>
          <w:rFonts w:hint="eastAsia" w:ascii="宋体" w:hAnsi="宋体" w:eastAsia="宋体" w:cs="Calibri"/>
          <w:b/>
          <w:bCs/>
          <w:color w:val="000000"/>
          <w:sz w:val="21"/>
          <w:szCs w:val="21"/>
        </w:rPr>
        <w:t>采购清单</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7"/>
        <w:gridCol w:w="2222"/>
        <w:gridCol w:w="4531"/>
        <w:gridCol w:w="992"/>
      </w:tblGrid>
      <w:tr w14:paraId="662EB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777" w:type="dxa"/>
          </w:tcPr>
          <w:p w14:paraId="695F3C57">
            <w:pPr>
              <w:jc w:val="center"/>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Pr>
              <w:t>序号</w:t>
            </w:r>
          </w:p>
        </w:tc>
        <w:tc>
          <w:tcPr>
            <w:tcW w:w="2222" w:type="dxa"/>
          </w:tcPr>
          <w:p w14:paraId="1CCD887F">
            <w:pPr>
              <w:jc w:val="center"/>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Pr>
              <w:t>设备类型</w:t>
            </w:r>
          </w:p>
        </w:tc>
        <w:tc>
          <w:tcPr>
            <w:tcW w:w="4531" w:type="dxa"/>
          </w:tcPr>
          <w:p w14:paraId="290F32D2">
            <w:pPr>
              <w:jc w:val="center"/>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Pr>
              <w:t>配置参数</w:t>
            </w:r>
          </w:p>
        </w:tc>
        <w:tc>
          <w:tcPr>
            <w:tcW w:w="992" w:type="dxa"/>
          </w:tcPr>
          <w:p w14:paraId="65D65DD5">
            <w:pPr>
              <w:jc w:val="center"/>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Pr>
              <w:t>数量</w:t>
            </w:r>
          </w:p>
        </w:tc>
      </w:tr>
      <w:tr w14:paraId="04B5D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tcPr>
          <w:p w14:paraId="3AA0DDF9">
            <w:pPr>
              <w:jc w:val="center"/>
              <w:rPr>
                <w:rFonts w:hint="eastAsia" w:ascii="宋体" w:hAnsi="宋体" w:eastAsia="宋体" w:cs="Calibri"/>
                <w:color w:val="000000"/>
                <w:sz w:val="21"/>
                <w:szCs w:val="21"/>
              </w:rPr>
            </w:pPr>
            <w:r>
              <w:rPr>
                <w:rFonts w:hint="eastAsia" w:ascii="宋体" w:hAnsi="宋体" w:eastAsia="宋体" w:cs="Calibri"/>
                <w:color w:val="000000"/>
                <w:sz w:val="21"/>
                <w:szCs w:val="21"/>
              </w:rPr>
              <w:t>1</w:t>
            </w:r>
          </w:p>
        </w:tc>
        <w:tc>
          <w:tcPr>
            <w:tcW w:w="2222" w:type="dxa"/>
          </w:tcPr>
          <w:p w14:paraId="4992A922">
            <w:pPr>
              <w:rPr>
                <w:rFonts w:hint="eastAsia" w:ascii="宋体" w:hAnsi="宋体" w:eastAsia="宋体" w:cs="Calibri"/>
                <w:color w:val="000000"/>
                <w:sz w:val="21"/>
                <w:szCs w:val="21"/>
              </w:rPr>
            </w:pPr>
            <w:r>
              <w:rPr>
                <w:rFonts w:hint="eastAsia" w:ascii="宋体" w:hAnsi="宋体" w:eastAsia="宋体" w:cs="Calibri"/>
                <w:color w:val="000000"/>
                <w:sz w:val="21"/>
                <w:szCs w:val="21"/>
              </w:rPr>
              <w:t>服务器</w:t>
            </w:r>
          </w:p>
        </w:tc>
        <w:tc>
          <w:tcPr>
            <w:tcW w:w="4531" w:type="dxa"/>
          </w:tcPr>
          <w:p w14:paraId="079E14A2">
            <w:pPr>
              <w:rPr>
                <w:rFonts w:hint="eastAsia" w:ascii="宋体" w:hAnsi="宋体" w:eastAsia="宋体" w:cs="Calibri"/>
                <w:color w:val="000000"/>
                <w:sz w:val="21"/>
                <w:szCs w:val="21"/>
              </w:rPr>
            </w:pPr>
            <w:r>
              <w:rPr>
                <w:rFonts w:hint="eastAsia" w:ascii="宋体" w:hAnsi="宋体" w:eastAsia="宋体" w:cs="Calibri"/>
                <w:color w:val="000000"/>
                <w:sz w:val="21"/>
                <w:szCs w:val="21"/>
              </w:rPr>
              <w:t>详见服务器技术规格要求</w:t>
            </w:r>
          </w:p>
        </w:tc>
        <w:tc>
          <w:tcPr>
            <w:tcW w:w="992" w:type="dxa"/>
          </w:tcPr>
          <w:p w14:paraId="0A431C0F">
            <w:pPr>
              <w:jc w:val="center"/>
              <w:rPr>
                <w:rFonts w:hint="eastAsia" w:ascii="宋体" w:hAnsi="宋体" w:eastAsia="宋体" w:cs="Calibri"/>
                <w:color w:val="000000"/>
                <w:sz w:val="21"/>
                <w:szCs w:val="21"/>
              </w:rPr>
            </w:pPr>
            <w:r>
              <w:rPr>
                <w:rFonts w:hint="eastAsia" w:ascii="宋体" w:hAnsi="宋体" w:eastAsia="宋体" w:cs="Calibri"/>
                <w:color w:val="000000"/>
                <w:sz w:val="21"/>
                <w:szCs w:val="21"/>
              </w:rPr>
              <w:t>1</w:t>
            </w:r>
          </w:p>
        </w:tc>
      </w:tr>
      <w:tr w14:paraId="16624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tcPr>
          <w:p w14:paraId="10787185">
            <w:pPr>
              <w:jc w:val="center"/>
              <w:rPr>
                <w:rFonts w:hint="eastAsia" w:ascii="宋体" w:hAnsi="宋体" w:eastAsia="宋体" w:cs="Calibri"/>
                <w:color w:val="000000"/>
                <w:sz w:val="21"/>
                <w:szCs w:val="21"/>
              </w:rPr>
            </w:pPr>
            <w:r>
              <w:rPr>
                <w:rFonts w:hint="eastAsia" w:ascii="宋体" w:hAnsi="宋体" w:eastAsia="宋体" w:cs="Calibri"/>
                <w:color w:val="000000"/>
                <w:sz w:val="21"/>
                <w:szCs w:val="21"/>
              </w:rPr>
              <w:t>2</w:t>
            </w:r>
          </w:p>
        </w:tc>
        <w:tc>
          <w:tcPr>
            <w:tcW w:w="2222" w:type="dxa"/>
          </w:tcPr>
          <w:p w14:paraId="766011DC">
            <w:pPr>
              <w:rPr>
                <w:rFonts w:hint="eastAsia" w:ascii="宋体" w:hAnsi="宋体" w:eastAsia="宋体" w:cs="Calibri"/>
                <w:color w:val="000000"/>
                <w:sz w:val="21"/>
                <w:szCs w:val="21"/>
              </w:rPr>
            </w:pPr>
            <w:r>
              <w:rPr>
                <w:rFonts w:hint="eastAsia" w:ascii="宋体" w:hAnsi="宋体" w:eastAsia="宋体" w:cs="Calibri"/>
                <w:color w:val="000000"/>
                <w:sz w:val="21"/>
                <w:szCs w:val="21"/>
              </w:rPr>
              <w:t>汇聚交换机</w:t>
            </w:r>
          </w:p>
        </w:tc>
        <w:tc>
          <w:tcPr>
            <w:tcW w:w="4531" w:type="dxa"/>
          </w:tcPr>
          <w:p w14:paraId="08C81FF2">
            <w:pPr>
              <w:rPr>
                <w:rFonts w:hint="eastAsia" w:ascii="宋体" w:hAnsi="宋体" w:eastAsia="宋体" w:cs="Calibri"/>
                <w:color w:val="000000"/>
                <w:sz w:val="21"/>
                <w:szCs w:val="21"/>
              </w:rPr>
            </w:pPr>
            <w:r>
              <w:rPr>
                <w:rFonts w:hint="eastAsia" w:ascii="宋体" w:hAnsi="宋体" w:eastAsia="宋体" w:cs="Calibri"/>
                <w:color w:val="000000"/>
                <w:sz w:val="21"/>
                <w:szCs w:val="21"/>
              </w:rPr>
              <w:t>详见汇聚交换机技术规格要求</w:t>
            </w:r>
          </w:p>
        </w:tc>
        <w:tc>
          <w:tcPr>
            <w:tcW w:w="992" w:type="dxa"/>
          </w:tcPr>
          <w:p w14:paraId="05D6C0E6">
            <w:pPr>
              <w:jc w:val="center"/>
              <w:rPr>
                <w:rFonts w:hint="eastAsia" w:ascii="宋体" w:hAnsi="宋体" w:eastAsia="宋体" w:cs="Calibri"/>
                <w:color w:val="000000"/>
                <w:sz w:val="21"/>
                <w:szCs w:val="21"/>
              </w:rPr>
            </w:pPr>
            <w:r>
              <w:rPr>
                <w:rFonts w:hint="eastAsia" w:ascii="宋体" w:hAnsi="宋体" w:eastAsia="宋体" w:cs="Calibri"/>
                <w:color w:val="000000"/>
                <w:sz w:val="21"/>
                <w:szCs w:val="21"/>
              </w:rPr>
              <w:t>8</w:t>
            </w:r>
          </w:p>
        </w:tc>
      </w:tr>
      <w:tr w14:paraId="47FEA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tcPr>
          <w:p w14:paraId="3F8AE8E4">
            <w:pPr>
              <w:jc w:val="center"/>
              <w:rPr>
                <w:rFonts w:hint="eastAsia" w:ascii="宋体" w:hAnsi="宋体" w:eastAsia="宋体" w:cs="Calibri"/>
                <w:color w:val="000000"/>
                <w:sz w:val="21"/>
                <w:szCs w:val="21"/>
              </w:rPr>
            </w:pPr>
            <w:r>
              <w:rPr>
                <w:rFonts w:hint="eastAsia" w:ascii="宋体" w:hAnsi="宋体" w:eastAsia="宋体" w:cs="Calibri"/>
                <w:color w:val="000000"/>
                <w:sz w:val="21"/>
                <w:szCs w:val="21"/>
              </w:rPr>
              <w:t>3</w:t>
            </w:r>
          </w:p>
        </w:tc>
        <w:tc>
          <w:tcPr>
            <w:tcW w:w="2222" w:type="dxa"/>
          </w:tcPr>
          <w:p w14:paraId="60C3C8A6">
            <w:pPr>
              <w:rPr>
                <w:rFonts w:hint="eastAsia" w:ascii="宋体" w:hAnsi="宋体" w:eastAsia="宋体" w:cs="Calibri"/>
                <w:color w:val="000000"/>
                <w:sz w:val="21"/>
                <w:szCs w:val="21"/>
              </w:rPr>
            </w:pPr>
            <w:r>
              <w:rPr>
                <w:rFonts w:hint="eastAsia" w:ascii="宋体" w:hAnsi="宋体" w:eastAsia="宋体" w:cs="Calibri"/>
                <w:color w:val="000000"/>
                <w:sz w:val="21"/>
                <w:szCs w:val="21"/>
              </w:rPr>
              <w:t>防火墙板卡</w:t>
            </w:r>
          </w:p>
        </w:tc>
        <w:tc>
          <w:tcPr>
            <w:tcW w:w="4531" w:type="dxa"/>
          </w:tcPr>
          <w:p w14:paraId="500C2391">
            <w:pPr>
              <w:rPr>
                <w:rFonts w:hint="eastAsia" w:ascii="宋体" w:hAnsi="宋体" w:eastAsia="宋体" w:cs="Calibri"/>
                <w:color w:val="000000"/>
                <w:sz w:val="21"/>
                <w:szCs w:val="21"/>
              </w:rPr>
            </w:pPr>
            <w:r>
              <w:rPr>
                <w:rFonts w:hint="eastAsia" w:ascii="宋体" w:hAnsi="宋体" w:eastAsia="宋体" w:cs="Calibri"/>
                <w:color w:val="000000"/>
                <w:sz w:val="21"/>
                <w:szCs w:val="21"/>
              </w:rPr>
              <w:t>详见防火墙板卡技术规格要求</w:t>
            </w:r>
          </w:p>
        </w:tc>
        <w:tc>
          <w:tcPr>
            <w:tcW w:w="992" w:type="dxa"/>
          </w:tcPr>
          <w:p w14:paraId="274DC450">
            <w:pPr>
              <w:jc w:val="center"/>
              <w:rPr>
                <w:rFonts w:hint="eastAsia" w:ascii="宋体" w:hAnsi="宋体" w:eastAsia="宋体" w:cs="Calibri"/>
                <w:color w:val="000000"/>
                <w:sz w:val="21"/>
                <w:szCs w:val="21"/>
              </w:rPr>
            </w:pPr>
            <w:r>
              <w:rPr>
                <w:rFonts w:hint="eastAsia" w:ascii="宋体" w:hAnsi="宋体" w:eastAsia="宋体" w:cs="Calibri"/>
                <w:color w:val="000000"/>
                <w:sz w:val="21"/>
                <w:szCs w:val="21"/>
              </w:rPr>
              <w:t>1</w:t>
            </w:r>
          </w:p>
        </w:tc>
      </w:tr>
    </w:tbl>
    <w:p w14:paraId="60913232"/>
    <w:p w14:paraId="5EE4FE24"/>
    <w:p w14:paraId="4D1C029A">
      <w:pPr>
        <w:rPr>
          <w:rFonts w:ascii="宋体" w:hAnsi="宋体" w:eastAsia="宋体" w:cs="Calibri"/>
          <w:b/>
          <w:bCs/>
          <w:color w:val="000000"/>
          <w:sz w:val="21"/>
          <w:szCs w:val="21"/>
        </w:rPr>
      </w:pPr>
      <w:r>
        <w:rPr>
          <w:rFonts w:hint="eastAsia" w:ascii="宋体" w:hAnsi="宋体" w:eastAsia="宋体" w:cs="Calibri"/>
          <w:b/>
          <w:bCs/>
          <w:color w:val="000000"/>
          <w:sz w:val="21"/>
          <w:szCs w:val="21"/>
        </w:rPr>
        <w:t>1.服务器</w:t>
      </w:r>
    </w:p>
    <w:tbl>
      <w:tblPr>
        <w:tblStyle w:val="3"/>
        <w:tblW w:w="907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7512"/>
      </w:tblGrid>
      <w:tr w14:paraId="5835F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1560" w:type="dxa"/>
            <w:shd w:val="clear" w:color="000000" w:fill="auto"/>
            <w:vAlign w:val="center"/>
          </w:tcPr>
          <w:p w14:paraId="79964AA5">
            <w:pPr>
              <w:jc w:val="center"/>
              <w:rPr>
                <w:rFonts w:ascii="微软雅黑" w:hAnsi="微软雅黑" w:eastAsia="微软雅黑"/>
                <w:b/>
                <w:bCs/>
                <w:sz w:val="21"/>
                <w:szCs w:val="21"/>
              </w:rPr>
            </w:pPr>
            <w:r>
              <w:rPr>
                <w:rFonts w:hint="eastAsia" w:ascii="微软雅黑" w:hAnsi="微软雅黑" w:eastAsia="微软雅黑" w:cs="微软雅黑"/>
                <w:b/>
                <w:bCs/>
                <w:sz w:val="21"/>
                <w:szCs w:val="21"/>
              </w:rPr>
              <w:t>指标项</w:t>
            </w:r>
          </w:p>
        </w:tc>
        <w:tc>
          <w:tcPr>
            <w:tcW w:w="7512" w:type="dxa"/>
            <w:shd w:val="clear" w:color="000000" w:fill="auto"/>
            <w:vAlign w:val="center"/>
          </w:tcPr>
          <w:p w14:paraId="5322FFF2">
            <w:pPr>
              <w:jc w:val="center"/>
              <w:rPr>
                <w:rFonts w:ascii="微软雅黑" w:hAnsi="微软雅黑" w:eastAsia="微软雅黑"/>
                <w:b/>
                <w:bCs/>
                <w:sz w:val="21"/>
                <w:szCs w:val="21"/>
              </w:rPr>
            </w:pPr>
            <w:r>
              <w:rPr>
                <w:rFonts w:hint="eastAsia" w:ascii="微软雅黑" w:hAnsi="微软雅黑" w:eastAsia="微软雅黑" w:cs="微软雅黑"/>
                <w:b/>
                <w:bCs/>
                <w:sz w:val="21"/>
                <w:szCs w:val="21"/>
              </w:rPr>
              <w:t>技术规格要求</w:t>
            </w:r>
          </w:p>
        </w:tc>
      </w:tr>
      <w:tr w14:paraId="7ACD3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560" w:type="dxa"/>
            <w:vAlign w:val="center"/>
          </w:tcPr>
          <w:p w14:paraId="01A6DD9A">
            <w:pPr>
              <w:spacing w:after="0" w:line="240" w:lineRule="auto"/>
              <w:rPr>
                <w:rFonts w:ascii="宋体" w:hAnsi="宋体" w:eastAsia="宋体" w:cs="Calibri"/>
                <w:color w:val="000000"/>
                <w:sz w:val="21"/>
                <w:szCs w:val="21"/>
              </w:rPr>
            </w:pPr>
            <w:r>
              <w:rPr>
                <w:rFonts w:hint="eastAsia" w:ascii="宋体" w:hAnsi="宋体" w:eastAsia="宋体" w:cs="Calibri"/>
                <w:color w:val="000000"/>
                <w:sz w:val="21"/>
                <w:szCs w:val="21"/>
              </w:rPr>
              <w:t>品牌要求</w:t>
            </w:r>
          </w:p>
        </w:tc>
        <w:tc>
          <w:tcPr>
            <w:tcW w:w="7512" w:type="dxa"/>
            <w:vAlign w:val="center"/>
          </w:tcPr>
          <w:p w14:paraId="6FBDCC01">
            <w:pPr>
              <w:spacing w:after="0" w:line="240" w:lineRule="auto"/>
              <w:rPr>
                <w:rFonts w:ascii="宋体" w:hAnsi="宋体" w:eastAsia="宋体" w:cs="Calibri"/>
                <w:color w:val="000000"/>
                <w:sz w:val="21"/>
                <w:szCs w:val="21"/>
              </w:rPr>
            </w:pPr>
            <w:r>
              <w:rPr>
                <w:rFonts w:hint="eastAsia" w:ascii="宋体" w:hAnsi="宋体" w:eastAsia="宋体" w:cs="Calibri"/>
                <w:color w:val="000000"/>
                <w:sz w:val="21"/>
                <w:szCs w:val="21"/>
              </w:rPr>
              <w:t>国内外知名品牌，优先考虑全球服务器出货量前五的品牌</w:t>
            </w:r>
          </w:p>
        </w:tc>
      </w:tr>
      <w:tr w14:paraId="398A9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560" w:type="dxa"/>
            <w:vAlign w:val="center"/>
          </w:tcPr>
          <w:p w14:paraId="2D1F42E3">
            <w:pPr>
              <w:spacing w:after="0" w:line="240" w:lineRule="auto"/>
              <w:rPr>
                <w:rFonts w:ascii="宋体" w:hAnsi="宋体" w:eastAsia="宋体" w:cs="Calibri"/>
                <w:color w:val="000000"/>
                <w:sz w:val="21"/>
                <w:szCs w:val="21"/>
              </w:rPr>
            </w:pPr>
            <w:r>
              <w:rPr>
                <w:rFonts w:hint="eastAsia" w:ascii="宋体" w:hAnsi="宋体" w:eastAsia="宋体" w:cs="Calibri"/>
                <w:color w:val="000000"/>
                <w:sz w:val="21"/>
                <w:szCs w:val="21"/>
              </w:rPr>
              <w:t>服务器外观</w:t>
            </w:r>
          </w:p>
        </w:tc>
        <w:tc>
          <w:tcPr>
            <w:tcW w:w="7512" w:type="dxa"/>
            <w:vAlign w:val="center"/>
          </w:tcPr>
          <w:p w14:paraId="5A377001">
            <w:pPr>
              <w:spacing w:after="0" w:line="240" w:lineRule="auto"/>
              <w:rPr>
                <w:rFonts w:ascii="宋体" w:hAnsi="宋体" w:eastAsia="宋体" w:cs="Calibri"/>
                <w:color w:val="000000"/>
                <w:sz w:val="21"/>
                <w:szCs w:val="21"/>
              </w:rPr>
            </w:pPr>
            <w:r>
              <w:rPr>
                <w:rFonts w:ascii="宋体" w:hAnsi="宋体" w:eastAsia="宋体" w:cs="Calibri"/>
                <w:color w:val="000000"/>
                <w:sz w:val="21"/>
                <w:szCs w:val="21"/>
              </w:rPr>
              <w:t>2U</w:t>
            </w:r>
            <w:r>
              <w:rPr>
                <w:rFonts w:hint="eastAsia" w:ascii="宋体" w:hAnsi="宋体" w:eastAsia="宋体" w:cs="Calibri"/>
                <w:color w:val="000000"/>
                <w:sz w:val="21"/>
                <w:szCs w:val="21"/>
              </w:rPr>
              <w:t>机架式，带导轨</w:t>
            </w:r>
          </w:p>
        </w:tc>
      </w:tr>
      <w:tr w14:paraId="31DEE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560" w:type="dxa"/>
            <w:vAlign w:val="center"/>
          </w:tcPr>
          <w:p w14:paraId="6109BBD1">
            <w:pPr>
              <w:spacing w:after="0" w:line="240" w:lineRule="auto"/>
              <w:rPr>
                <w:rFonts w:ascii="宋体" w:hAnsi="宋体" w:eastAsia="宋体" w:cs="Calibri"/>
                <w:color w:val="000000"/>
                <w:sz w:val="21"/>
                <w:szCs w:val="21"/>
              </w:rPr>
            </w:pPr>
            <w:r>
              <w:rPr>
                <w:rFonts w:hint="eastAsia" w:ascii="宋体" w:hAnsi="宋体" w:eastAsia="宋体" w:cs="Calibri"/>
                <w:color w:val="000000"/>
                <w:sz w:val="21"/>
                <w:szCs w:val="21"/>
              </w:rPr>
              <w:t>处理器</w:t>
            </w:r>
          </w:p>
        </w:tc>
        <w:tc>
          <w:tcPr>
            <w:tcW w:w="7512" w:type="dxa"/>
            <w:vAlign w:val="center"/>
          </w:tcPr>
          <w:p w14:paraId="13AD1412">
            <w:pPr>
              <w:spacing w:after="0" w:line="240" w:lineRule="auto"/>
              <w:rPr>
                <w:rFonts w:ascii="宋体" w:hAnsi="宋体" w:eastAsia="宋体" w:cs="Calibri"/>
                <w:color w:val="000000"/>
                <w:sz w:val="21"/>
                <w:szCs w:val="21"/>
              </w:rPr>
            </w:pPr>
            <w:r>
              <w:rPr>
                <w:rFonts w:hint="eastAsia" w:ascii="宋体" w:hAnsi="宋体" w:eastAsia="宋体" w:cs="Calibri"/>
                <w:color w:val="000000"/>
                <w:sz w:val="21"/>
                <w:szCs w:val="21"/>
              </w:rPr>
              <w:t>配置两个</w:t>
            </w:r>
            <w:r>
              <w:rPr>
                <w:rFonts w:ascii="宋体" w:hAnsi="宋体" w:eastAsia="宋体" w:cs="Calibri"/>
                <w:color w:val="000000"/>
                <w:sz w:val="21"/>
                <w:szCs w:val="21"/>
              </w:rPr>
              <w:t>主频为 4314 2.4G, 16C/32T, 10.4GT/s, 24M 缓存, Turbo, HT (135W) DDR4- 2666</w:t>
            </w:r>
            <w:r>
              <w:rPr>
                <w:rFonts w:hint="eastAsia" w:ascii="宋体" w:hAnsi="宋体" w:eastAsia="宋体" w:cs="Calibri"/>
                <w:color w:val="000000"/>
                <w:sz w:val="21"/>
                <w:szCs w:val="21"/>
              </w:rPr>
              <w:t>处理器</w:t>
            </w:r>
          </w:p>
        </w:tc>
      </w:tr>
      <w:tr w14:paraId="6171D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560" w:type="dxa"/>
            <w:vAlign w:val="center"/>
          </w:tcPr>
          <w:p w14:paraId="0C839759">
            <w:pPr>
              <w:spacing w:after="0" w:line="240" w:lineRule="auto"/>
              <w:rPr>
                <w:rFonts w:ascii="宋体" w:hAnsi="宋体" w:eastAsia="宋体" w:cs="Calibri"/>
                <w:color w:val="000000"/>
                <w:sz w:val="21"/>
                <w:szCs w:val="21"/>
              </w:rPr>
            </w:pPr>
            <w:r>
              <w:rPr>
                <w:rFonts w:hint="eastAsia" w:ascii="宋体" w:hAnsi="宋体" w:eastAsia="宋体" w:cs="Calibri"/>
                <w:color w:val="000000"/>
                <w:sz w:val="21"/>
                <w:szCs w:val="21"/>
              </w:rPr>
              <w:t>内存</w:t>
            </w:r>
          </w:p>
        </w:tc>
        <w:tc>
          <w:tcPr>
            <w:tcW w:w="7512" w:type="dxa"/>
            <w:vAlign w:val="center"/>
          </w:tcPr>
          <w:p w14:paraId="086552CD">
            <w:pPr>
              <w:spacing w:after="0" w:line="240" w:lineRule="auto"/>
              <w:rPr>
                <w:rFonts w:ascii="宋体" w:hAnsi="宋体" w:eastAsia="宋体" w:cs="Calibri"/>
                <w:color w:val="000000"/>
                <w:sz w:val="21"/>
                <w:szCs w:val="21"/>
              </w:rPr>
            </w:pPr>
            <w:r>
              <w:rPr>
                <w:rFonts w:hint="eastAsia" w:ascii="宋体" w:hAnsi="宋体" w:eastAsia="宋体" w:cs="Calibri"/>
                <w:color w:val="000000"/>
                <w:sz w:val="21"/>
                <w:szCs w:val="21"/>
              </w:rPr>
              <w:t>配置≥</w:t>
            </w:r>
            <w:r>
              <w:rPr>
                <w:rFonts w:ascii="宋体" w:hAnsi="宋体" w:eastAsia="宋体" w:cs="Calibri"/>
                <w:color w:val="000000"/>
                <w:sz w:val="21"/>
                <w:szCs w:val="21"/>
              </w:rPr>
              <w:t>8*32GB RDIMM, 3200MT/s</w:t>
            </w:r>
          </w:p>
        </w:tc>
      </w:tr>
      <w:tr w14:paraId="58F28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60" w:type="dxa"/>
            <w:vAlign w:val="center"/>
          </w:tcPr>
          <w:p w14:paraId="12AFE002">
            <w:pPr>
              <w:spacing w:after="0" w:line="240" w:lineRule="auto"/>
              <w:rPr>
                <w:rFonts w:ascii="宋体" w:hAnsi="宋体" w:eastAsia="宋体" w:cs="Calibri"/>
                <w:color w:val="000000"/>
                <w:sz w:val="21"/>
                <w:szCs w:val="21"/>
              </w:rPr>
            </w:pPr>
            <w:r>
              <w:rPr>
                <w:rFonts w:hint="eastAsia" w:ascii="宋体" w:hAnsi="宋体" w:eastAsia="宋体" w:cs="Calibri"/>
                <w:color w:val="000000"/>
                <w:sz w:val="21"/>
                <w:szCs w:val="21"/>
              </w:rPr>
              <w:t>硬盘</w:t>
            </w:r>
          </w:p>
        </w:tc>
        <w:tc>
          <w:tcPr>
            <w:tcW w:w="7512" w:type="dxa"/>
            <w:vAlign w:val="center"/>
          </w:tcPr>
          <w:p w14:paraId="2E78C66D">
            <w:pPr>
              <w:spacing w:after="0" w:line="240" w:lineRule="auto"/>
              <w:rPr>
                <w:rFonts w:ascii="宋体" w:hAnsi="宋体" w:eastAsia="宋体" w:cs="Calibri"/>
                <w:color w:val="000000"/>
                <w:sz w:val="21"/>
                <w:szCs w:val="21"/>
              </w:rPr>
            </w:pPr>
            <w:r>
              <w:rPr>
                <w:rFonts w:hint="eastAsia" w:ascii="宋体" w:hAnsi="宋体" w:eastAsia="宋体" w:cs="Calibri"/>
                <w:color w:val="000000"/>
                <w:sz w:val="21"/>
                <w:szCs w:val="21"/>
              </w:rPr>
              <w:t>配置≥2*</w:t>
            </w:r>
            <w:r>
              <w:rPr>
                <w:rFonts w:ascii="宋体" w:hAnsi="宋体" w:eastAsia="宋体" w:cs="Calibri"/>
                <w:color w:val="000000"/>
                <w:sz w:val="21"/>
                <w:szCs w:val="21"/>
              </w:rPr>
              <w:t>960GB SSD 2.5英寸热插拔</w:t>
            </w:r>
          </w:p>
        </w:tc>
      </w:tr>
      <w:tr w14:paraId="473AD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560" w:type="dxa"/>
            <w:vAlign w:val="center"/>
          </w:tcPr>
          <w:p w14:paraId="7F1757C6">
            <w:pPr>
              <w:spacing w:after="0" w:line="240" w:lineRule="auto"/>
              <w:rPr>
                <w:rFonts w:ascii="宋体" w:hAnsi="宋体" w:eastAsia="宋体" w:cs="Calibri"/>
                <w:color w:val="000000"/>
                <w:sz w:val="21"/>
                <w:szCs w:val="21"/>
              </w:rPr>
            </w:pPr>
            <w:r>
              <w:rPr>
                <w:rFonts w:hint="eastAsia" w:ascii="宋体" w:hAnsi="宋体" w:eastAsia="宋体" w:cs="Calibri"/>
                <w:color w:val="000000"/>
                <w:sz w:val="21"/>
                <w:szCs w:val="21"/>
              </w:rPr>
              <w:t>最大支持硬盘数量和类型</w:t>
            </w:r>
          </w:p>
        </w:tc>
        <w:tc>
          <w:tcPr>
            <w:tcW w:w="7512" w:type="dxa"/>
            <w:vAlign w:val="center"/>
          </w:tcPr>
          <w:p w14:paraId="04F79231">
            <w:pPr>
              <w:spacing w:after="0" w:line="240" w:lineRule="auto"/>
              <w:rPr>
                <w:rFonts w:ascii="宋体" w:hAnsi="宋体" w:eastAsia="宋体" w:cs="Calibri"/>
                <w:color w:val="000000"/>
                <w:sz w:val="21"/>
                <w:szCs w:val="21"/>
              </w:rPr>
            </w:pPr>
            <w:r>
              <w:rPr>
                <w:rFonts w:hint="eastAsia" w:ascii="宋体" w:hAnsi="宋体" w:eastAsia="宋体" w:cs="Calibri"/>
                <w:color w:val="000000"/>
                <w:sz w:val="21"/>
                <w:szCs w:val="21"/>
              </w:rPr>
              <w:t>★本次配置机箱提供≥1</w:t>
            </w:r>
            <w:r>
              <w:rPr>
                <w:rFonts w:ascii="宋体" w:hAnsi="宋体" w:eastAsia="宋体" w:cs="Calibri"/>
                <w:color w:val="000000"/>
                <w:sz w:val="21"/>
                <w:szCs w:val="21"/>
              </w:rPr>
              <w:t>2</w:t>
            </w:r>
            <w:r>
              <w:rPr>
                <w:rFonts w:hint="eastAsia" w:ascii="宋体" w:hAnsi="宋体" w:eastAsia="宋体" w:cs="Calibri"/>
                <w:color w:val="000000"/>
                <w:sz w:val="21"/>
                <w:szCs w:val="21"/>
              </w:rPr>
              <w:t>个3</w:t>
            </w:r>
            <w:r>
              <w:rPr>
                <w:rFonts w:ascii="宋体" w:hAnsi="宋体" w:eastAsia="宋体" w:cs="Calibri"/>
                <w:color w:val="000000"/>
                <w:sz w:val="21"/>
                <w:szCs w:val="21"/>
              </w:rPr>
              <w:t>.5</w:t>
            </w:r>
            <w:r>
              <w:rPr>
                <w:rFonts w:hint="eastAsia" w:ascii="宋体" w:hAnsi="宋体" w:eastAsia="宋体" w:cs="Calibri"/>
                <w:color w:val="000000"/>
                <w:sz w:val="21"/>
                <w:szCs w:val="21"/>
              </w:rPr>
              <w:t>英寸硬盘槽位，兼容</w:t>
            </w:r>
            <w:r>
              <w:rPr>
                <w:rFonts w:ascii="宋体" w:hAnsi="宋体" w:eastAsia="宋体" w:cs="Calibri"/>
                <w:color w:val="000000"/>
                <w:sz w:val="21"/>
                <w:szCs w:val="21"/>
              </w:rPr>
              <w:t>2.5英寸</w:t>
            </w:r>
            <w:r>
              <w:rPr>
                <w:rFonts w:hint="eastAsia" w:ascii="宋体" w:hAnsi="宋体" w:eastAsia="宋体" w:cs="Calibri"/>
                <w:color w:val="000000"/>
                <w:sz w:val="21"/>
                <w:szCs w:val="21"/>
              </w:rPr>
              <w:t>硬盘</w:t>
            </w:r>
          </w:p>
        </w:tc>
      </w:tr>
      <w:tr w14:paraId="0ED99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560" w:type="dxa"/>
            <w:vAlign w:val="center"/>
          </w:tcPr>
          <w:p w14:paraId="63BFCB0C">
            <w:pPr>
              <w:spacing w:after="0" w:line="240" w:lineRule="auto"/>
              <w:rPr>
                <w:rFonts w:ascii="宋体" w:hAnsi="宋体" w:eastAsia="宋体" w:cs="Calibri"/>
                <w:color w:val="000000"/>
                <w:sz w:val="21"/>
                <w:szCs w:val="21"/>
              </w:rPr>
            </w:pPr>
            <w:r>
              <w:rPr>
                <w:rFonts w:hint="eastAsia" w:ascii="宋体" w:hAnsi="宋体" w:eastAsia="宋体" w:cs="Calibri"/>
                <w:color w:val="000000"/>
                <w:sz w:val="21"/>
                <w:szCs w:val="21"/>
              </w:rPr>
              <w:t>硬盘/SSD数据安全擦除</w:t>
            </w:r>
          </w:p>
        </w:tc>
        <w:tc>
          <w:tcPr>
            <w:tcW w:w="7512" w:type="dxa"/>
            <w:vAlign w:val="center"/>
          </w:tcPr>
          <w:p w14:paraId="1BBB131F">
            <w:pPr>
              <w:spacing w:after="0" w:line="240" w:lineRule="auto"/>
              <w:rPr>
                <w:rFonts w:ascii="宋体" w:hAnsi="宋体" w:eastAsia="宋体" w:cs="Calibri"/>
                <w:color w:val="000000"/>
                <w:sz w:val="21"/>
                <w:szCs w:val="21"/>
              </w:rPr>
            </w:pPr>
            <w:r>
              <w:rPr>
                <w:rFonts w:hint="eastAsia" w:ascii="宋体" w:hAnsi="宋体" w:eastAsia="宋体" w:cs="Calibri"/>
                <w:color w:val="000000"/>
                <w:sz w:val="21"/>
                <w:szCs w:val="21"/>
              </w:rPr>
              <w:t>服务器生命周期结束或者挪作它用时一键删除硬盘/SSD所有信息，只需要几分钟就能保证信息不泄露。传统硬盘至少需要几个小时的写零时间或者物理销毁。</w:t>
            </w:r>
          </w:p>
        </w:tc>
      </w:tr>
      <w:tr w14:paraId="47758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560" w:type="dxa"/>
            <w:vAlign w:val="center"/>
          </w:tcPr>
          <w:p w14:paraId="038C927D">
            <w:pPr>
              <w:spacing w:after="0" w:line="240" w:lineRule="auto"/>
              <w:rPr>
                <w:rFonts w:ascii="宋体" w:hAnsi="宋体" w:eastAsia="宋体" w:cs="Calibri"/>
                <w:color w:val="000000"/>
                <w:sz w:val="21"/>
                <w:szCs w:val="21"/>
              </w:rPr>
            </w:pPr>
            <w:r>
              <w:rPr>
                <w:rFonts w:hint="eastAsia" w:ascii="宋体" w:hAnsi="宋体" w:eastAsia="宋体" w:cs="Calibri"/>
                <w:color w:val="000000"/>
                <w:sz w:val="21"/>
                <w:szCs w:val="21"/>
              </w:rPr>
              <w:t>阵列卡</w:t>
            </w:r>
          </w:p>
        </w:tc>
        <w:tc>
          <w:tcPr>
            <w:tcW w:w="7512" w:type="dxa"/>
            <w:vAlign w:val="center"/>
          </w:tcPr>
          <w:p w14:paraId="32C72BE8">
            <w:pPr>
              <w:spacing w:after="0" w:line="240" w:lineRule="auto"/>
              <w:rPr>
                <w:rFonts w:ascii="宋体" w:hAnsi="宋体" w:eastAsia="宋体" w:cs="Calibri"/>
                <w:color w:val="000000"/>
                <w:sz w:val="21"/>
                <w:szCs w:val="21"/>
              </w:rPr>
            </w:pPr>
            <w:r>
              <w:rPr>
                <w:rFonts w:hint="eastAsia" w:ascii="宋体" w:hAnsi="宋体" w:eastAsia="宋体" w:cs="Calibri"/>
                <w:color w:val="000000"/>
                <w:sz w:val="21"/>
                <w:szCs w:val="21"/>
              </w:rPr>
              <w:t>★配置1块</w:t>
            </w:r>
            <w:r>
              <w:rPr>
                <w:rFonts w:ascii="宋体" w:hAnsi="宋体" w:eastAsia="宋体" w:cs="Calibri"/>
                <w:color w:val="000000"/>
                <w:sz w:val="21"/>
                <w:szCs w:val="21"/>
              </w:rPr>
              <w:t>RAID</w:t>
            </w:r>
            <w:r>
              <w:rPr>
                <w:rFonts w:hint="eastAsia" w:ascii="宋体" w:hAnsi="宋体" w:eastAsia="宋体" w:cs="Calibri"/>
                <w:color w:val="000000"/>
                <w:sz w:val="21"/>
                <w:szCs w:val="21"/>
              </w:rPr>
              <w:t>卡，支持RAID 0、1、5、6、10、50、60，8GB缓存</w:t>
            </w:r>
          </w:p>
        </w:tc>
      </w:tr>
      <w:tr w14:paraId="7B899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1560" w:type="dxa"/>
            <w:vAlign w:val="center"/>
          </w:tcPr>
          <w:p w14:paraId="57592452">
            <w:pPr>
              <w:spacing w:after="0" w:line="240" w:lineRule="auto"/>
              <w:rPr>
                <w:rFonts w:ascii="宋体" w:hAnsi="宋体" w:eastAsia="宋体" w:cs="Calibri"/>
                <w:color w:val="000000"/>
                <w:sz w:val="21"/>
                <w:szCs w:val="21"/>
              </w:rPr>
            </w:pPr>
            <w:r>
              <w:rPr>
                <w:rFonts w:hint="eastAsia" w:ascii="宋体" w:hAnsi="宋体" w:eastAsia="宋体" w:cs="Calibri"/>
                <w:color w:val="000000"/>
                <w:sz w:val="21"/>
                <w:szCs w:val="21"/>
              </w:rPr>
              <w:t>以太网卡</w:t>
            </w:r>
          </w:p>
        </w:tc>
        <w:tc>
          <w:tcPr>
            <w:tcW w:w="7512" w:type="dxa"/>
            <w:vAlign w:val="center"/>
          </w:tcPr>
          <w:p w14:paraId="1475D590">
            <w:pPr>
              <w:spacing w:after="0" w:line="240" w:lineRule="auto"/>
              <w:rPr>
                <w:rFonts w:ascii="宋体" w:hAnsi="宋体" w:eastAsia="宋体" w:cs="Calibri"/>
                <w:color w:val="000000"/>
                <w:sz w:val="21"/>
                <w:szCs w:val="21"/>
              </w:rPr>
            </w:pPr>
            <w:r>
              <w:rPr>
                <w:rFonts w:hint="eastAsia" w:ascii="宋体" w:hAnsi="宋体" w:eastAsia="宋体" w:cs="Calibri"/>
                <w:color w:val="000000"/>
                <w:sz w:val="21"/>
                <w:szCs w:val="21"/>
              </w:rPr>
              <w:t>主板</w:t>
            </w:r>
            <w:r>
              <w:rPr>
                <w:rFonts w:ascii="宋体" w:hAnsi="宋体" w:eastAsia="宋体" w:cs="Calibri"/>
                <w:color w:val="000000"/>
                <w:sz w:val="21"/>
                <w:szCs w:val="21"/>
              </w:rPr>
              <w:t xml:space="preserve"> with Broadcom 5720 双端口 1Gb 主板集成 LOM</w:t>
            </w:r>
          </w:p>
        </w:tc>
      </w:tr>
      <w:tr w14:paraId="37B1B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560" w:type="dxa"/>
            <w:vAlign w:val="center"/>
          </w:tcPr>
          <w:p w14:paraId="48B73CC2">
            <w:pPr>
              <w:spacing w:after="0" w:line="240" w:lineRule="auto"/>
              <w:rPr>
                <w:rFonts w:ascii="宋体" w:hAnsi="宋体" w:eastAsia="宋体" w:cs="Calibri"/>
                <w:color w:val="000000"/>
                <w:sz w:val="21"/>
                <w:szCs w:val="21"/>
              </w:rPr>
            </w:pPr>
            <w:r>
              <w:rPr>
                <w:rFonts w:hint="eastAsia" w:ascii="宋体" w:hAnsi="宋体" w:eastAsia="宋体" w:cs="Calibri"/>
                <w:color w:val="000000"/>
                <w:sz w:val="21"/>
                <w:szCs w:val="21"/>
              </w:rPr>
              <w:t>电源</w:t>
            </w:r>
          </w:p>
        </w:tc>
        <w:tc>
          <w:tcPr>
            <w:tcW w:w="7512" w:type="dxa"/>
            <w:vAlign w:val="center"/>
          </w:tcPr>
          <w:p w14:paraId="1B1128C8">
            <w:pPr>
              <w:spacing w:after="0" w:line="240" w:lineRule="auto"/>
              <w:rPr>
                <w:rFonts w:ascii="宋体" w:hAnsi="宋体" w:eastAsia="宋体" w:cs="Calibri"/>
                <w:color w:val="000000"/>
                <w:sz w:val="21"/>
                <w:szCs w:val="21"/>
              </w:rPr>
            </w:pPr>
            <w:r>
              <w:rPr>
                <w:rFonts w:hint="eastAsia" w:ascii="宋体" w:hAnsi="宋体" w:eastAsia="宋体" w:cs="Calibri"/>
                <w:color w:val="000000"/>
                <w:sz w:val="21"/>
                <w:szCs w:val="21"/>
              </w:rPr>
              <w:t>配置2个800W电源（1+</w:t>
            </w:r>
            <w:r>
              <w:rPr>
                <w:rFonts w:ascii="宋体" w:hAnsi="宋体" w:eastAsia="宋体" w:cs="Calibri"/>
                <w:color w:val="000000"/>
                <w:sz w:val="21"/>
                <w:szCs w:val="21"/>
              </w:rPr>
              <w:t>1</w:t>
            </w:r>
            <w:r>
              <w:rPr>
                <w:rFonts w:hint="eastAsia" w:ascii="宋体" w:hAnsi="宋体" w:eastAsia="宋体" w:cs="Calibri"/>
                <w:color w:val="000000"/>
                <w:sz w:val="21"/>
                <w:szCs w:val="21"/>
              </w:rPr>
              <w:t>冗余）及风扇，配置电源线</w:t>
            </w:r>
          </w:p>
        </w:tc>
      </w:tr>
      <w:tr w14:paraId="03911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560" w:type="dxa"/>
            <w:vAlign w:val="center"/>
          </w:tcPr>
          <w:p w14:paraId="1B22A9EE">
            <w:pPr>
              <w:spacing w:after="0" w:line="240" w:lineRule="auto"/>
              <w:rPr>
                <w:rFonts w:ascii="宋体" w:hAnsi="宋体" w:eastAsia="宋体" w:cs="Calibri"/>
                <w:color w:val="000000"/>
                <w:sz w:val="21"/>
                <w:szCs w:val="21"/>
              </w:rPr>
            </w:pPr>
            <w:r>
              <w:rPr>
                <w:rFonts w:ascii="宋体" w:hAnsi="宋体" w:eastAsia="宋体" w:cs="Calibri"/>
                <w:color w:val="000000"/>
                <w:sz w:val="21"/>
                <w:szCs w:val="21"/>
              </w:rPr>
              <w:t>PCI I/O</w:t>
            </w:r>
            <w:r>
              <w:rPr>
                <w:rFonts w:hint="eastAsia" w:ascii="宋体" w:hAnsi="宋体" w:eastAsia="宋体" w:cs="Calibri"/>
                <w:color w:val="000000"/>
                <w:sz w:val="21"/>
                <w:szCs w:val="21"/>
              </w:rPr>
              <w:t>插槽</w:t>
            </w:r>
          </w:p>
        </w:tc>
        <w:tc>
          <w:tcPr>
            <w:tcW w:w="7512" w:type="dxa"/>
            <w:vAlign w:val="center"/>
          </w:tcPr>
          <w:p w14:paraId="09A3007F">
            <w:pPr>
              <w:spacing w:after="0" w:line="240" w:lineRule="auto"/>
              <w:rPr>
                <w:rFonts w:ascii="宋体" w:hAnsi="宋体" w:eastAsia="宋体" w:cs="Calibri"/>
                <w:color w:val="000000"/>
                <w:sz w:val="21"/>
                <w:szCs w:val="21"/>
              </w:rPr>
            </w:pPr>
            <w:r>
              <w:rPr>
                <w:rFonts w:hint="eastAsia" w:ascii="宋体" w:hAnsi="宋体" w:eastAsia="宋体" w:cs="Calibri"/>
                <w:color w:val="000000"/>
                <w:sz w:val="21"/>
                <w:szCs w:val="21"/>
              </w:rPr>
              <w:t>★配置≥6个</w:t>
            </w:r>
            <w:r>
              <w:rPr>
                <w:rFonts w:ascii="宋体" w:hAnsi="宋体" w:eastAsia="宋体" w:cs="Calibri"/>
                <w:color w:val="000000"/>
                <w:sz w:val="21"/>
                <w:szCs w:val="21"/>
              </w:rPr>
              <w:t>I/O</w:t>
            </w:r>
            <w:r>
              <w:rPr>
                <w:rFonts w:hint="eastAsia" w:ascii="宋体" w:hAnsi="宋体" w:eastAsia="宋体" w:cs="Calibri"/>
                <w:color w:val="000000"/>
                <w:sz w:val="21"/>
                <w:szCs w:val="21"/>
              </w:rPr>
              <w:t>插槽</w:t>
            </w:r>
          </w:p>
        </w:tc>
      </w:tr>
      <w:tr w14:paraId="24099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1560" w:type="dxa"/>
            <w:shd w:val="clear" w:color="auto" w:fill="auto"/>
            <w:vAlign w:val="center"/>
          </w:tcPr>
          <w:p w14:paraId="728A99A0">
            <w:pPr>
              <w:spacing w:after="0" w:line="240" w:lineRule="auto"/>
              <w:rPr>
                <w:rFonts w:ascii="宋体" w:hAnsi="宋体" w:eastAsia="宋体" w:cs="Calibri"/>
                <w:color w:val="000000"/>
                <w:sz w:val="21"/>
                <w:szCs w:val="21"/>
              </w:rPr>
            </w:pPr>
            <w:r>
              <w:rPr>
                <w:rFonts w:hint="eastAsia" w:ascii="宋体" w:hAnsi="宋体" w:eastAsia="宋体" w:cs="Calibri"/>
                <w:color w:val="000000"/>
                <w:sz w:val="21"/>
                <w:szCs w:val="21"/>
              </w:rPr>
              <w:t>安全功能和特性</w:t>
            </w:r>
          </w:p>
        </w:tc>
        <w:tc>
          <w:tcPr>
            <w:tcW w:w="7512" w:type="dxa"/>
            <w:shd w:val="clear" w:color="auto" w:fill="auto"/>
            <w:vAlign w:val="center"/>
          </w:tcPr>
          <w:p w14:paraId="2958D6C7">
            <w:pPr>
              <w:spacing w:after="0" w:line="240" w:lineRule="auto"/>
              <w:rPr>
                <w:rFonts w:ascii="宋体" w:hAnsi="宋体" w:eastAsia="宋体" w:cs="Calibri"/>
                <w:color w:val="000000"/>
                <w:sz w:val="21"/>
                <w:szCs w:val="21"/>
              </w:rPr>
            </w:pPr>
            <w:r>
              <w:rPr>
                <w:rFonts w:hint="eastAsia" w:ascii="宋体" w:hAnsi="宋体" w:eastAsia="宋体" w:cs="Calibri"/>
                <w:color w:val="000000"/>
                <w:sz w:val="21"/>
                <w:szCs w:val="21"/>
              </w:rPr>
              <w:t>加密签名固件，硬件根信任，安全启动，自动BIOS恢复，快速OS恢复，系统一键锁定，安全的缺省密码，配置和固件漂移检测，持久日志（包括用户形迹）</w:t>
            </w:r>
          </w:p>
        </w:tc>
      </w:tr>
      <w:tr w14:paraId="0DBD8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560" w:type="dxa"/>
            <w:shd w:val="clear" w:color="auto" w:fill="auto"/>
            <w:vAlign w:val="center"/>
          </w:tcPr>
          <w:p w14:paraId="0429CCF4">
            <w:pPr>
              <w:spacing w:after="0" w:line="240" w:lineRule="auto"/>
              <w:rPr>
                <w:rFonts w:ascii="宋体" w:hAnsi="宋体" w:eastAsia="宋体" w:cs="Calibri"/>
                <w:color w:val="000000"/>
                <w:sz w:val="21"/>
                <w:szCs w:val="21"/>
              </w:rPr>
            </w:pPr>
            <w:r>
              <w:rPr>
                <w:rFonts w:hint="eastAsia" w:ascii="宋体" w:hAnsi="宋体" w:eastAsia="宋体" w:cs="Calibri"/>
                <w:color w:val="000000"/>
                <w:sz w:val="21"/>
                <w:szCs w:val="21"/>
              </w:rPr>
              <w:t>前置管理液晶屏</w:t>
            </w:r>
          </w:p>
        </w:tc>
        <w:tc>
          <w:tcPr>
            <w:tcW w:w="7512" w:type="dxa"/>
            <w:shd w:val="clear" w:color="auto" w:fill="auto"/>
            <w:vAlign w:val="center"/>
          </w:tcPr>
          <w:p w14:paraId="044BFE96">
            <w:pPr>
              <w:spacing w:after="0" w:line="240" w:lineRule="auto"/>
              <w:rPr>
                <w:rFonts w:ascii="宋体" w:hAnsi="宋体" w:eastAsia="宋体" w:cs="Calibri"/>
                <w:color w:val="000000"/>
                <w:sz w:val="21"/>
                <w:szCs w:val="21"/>
              </w:rPr>
            </w:pPr>
            <w:r>
              <w:rPr>
                <w:rFonts w:hint="eastAsia" w:ascii="宋体" w:hAnsi="宋体" w:eastAsia="宋体" w:cs="Calibri"/>
                <w:color w:val="000000"/>
                <w:sz w:val="21"/>
                <w:szCs w:val="21"/>
              </w:rPr>
              <w:t>前面板可选配置液晶屏，可显示默认或定制信息，包括IP地址、服务器名称、支持服务编号等。如果系统发生故障，该液晶屏上将显示关于故障的具体信息</w:t>
            </w:r>
          </w:p>
        </w:tc>
      </w:tr>
      <w:tr w14:paraId="05488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1560" w:type="dxa"/>
            <w:shd w:val="clear" w:color="auto" w:fill="auto"/>
            <w:vAlign w:val="center"/>
          </w:tcPr>
          <w:p w14:paraId="7D7D6D09">
            <w:pPr>
              <w:spacing w:after="0" w:line="240" w:lineRule="auto"/>
              <w:rPr>
                <w:rFonts w:ascii="宋体" w:hAnsi="宋体" w:eastAsia="宋体" w:cs="Calibri"/>
                <w:color w:val="000000"/>
                <w:sz w:val="21"/>
                <w:szCs w:val="21"/>
              </w:rPr>
            </w:pPr>
            <w:r>
              <w:rPr>
                <w:rFonts w:hint="eastAsia" w:ascii="宋体" w:hAnsi="宋体" w:eastAsia="宋体" w:cs="Calibri"/>
                <w:color w:val="000000"/>
                <w:sz w:val="21"/>
                <w:szCs w:val="21"/>
              </w:rPr>
              <w:t>能耗管理</w:t>
            </w:r>
          </w:p>
        </w:tc>
        <w:tc>
          <w:tcPr>
            <w:tcW w:w="7512" w:type="dxa"/>
            <w:shd w:val="clear" w:color="auto" w:fill="auto"/>
            <w:vAlign w:val="center"/>
          </w:tcPr>
          <w:p w14:paraId="403AECE4">
            <w:pPr>
              <w:spacing w:after="0" w:line="240" w:lineRule="auto"/>
              <w:rPr>
                <w:rFonts w:ascii="宋体" w:hAnsi="宋体" w:eastAsia="宋体" w:cs="Calibri"/>
                <w:color w:val="000000"/>
                <w:sz w:val="21"/>
                <w:szCs w:val="21"/>
              </w:rPr>
            </w:pPr>
            <w:r>
              <w:rPr>
                <w:rFonts w:hint="eastAsia" w:ascii="宋体" w:hAnsi="宋体" w:eastAsia="宋体" w:cs="Calibri"/>
                <w:color w:val="000000"/>
                <w:sz w:val="21"/>
                <w:szCs w:val="21"/>
              </w:rPr>
              <w:t>可监控、报告及控制处理器、内存及系统级的能耗，允许通过一体化管理控制台实现基于策略的功耗封顶。虚拟机功耗映射，可以根据功耗对于虚拟机进行负载平衡以及按虚拟机报告功能</w:t>
            </w:r>
          </w:p>
        </w:tc>
      </w:tr>
      <w:tr w14:paraId="5E78A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4" w:hRule="atLeast"/>
        </w:trPr>
        <w:tc>
          <w:tcPr>
            <w:tcW w:w="1560" w:type="dxa"/>
            <w:shd w:val="clear" w:color="auto" w:fill="auto"/>
            <w:vAlign w:val="center"/>
          </w:tcPr>
          <w:p w14:paraId="0417CD97">
            <w:pPr>
              <w:spacing w:after="0" w:line="240" w:lineRule="auto"/>
              <w:rPr>
                <w:rFonts w:ascii="宋体" w:hAnsi="宋体" w:eastAsia="宋体" w:cs="Calibri"/>
                <w:color w:val="000000"/>
                <w:sz w:val="21"/>
                <w:szCs w:val="21"/>
              </w:rPr>
            </w:pPr>
            <w:r>
              <w:rPr>
                <w:rFonts w:hint="eastAsia" w:ascii="宋体" w:hAnsi="宋体" w:eastAsia="宋体" w:cs="Calibri"/>
                <w:color w:val="000000"/>
                <w:sz w:val="21"/>
                <w:szCs w:val="21"/>
              </w:rPr>
              <w:t>第三方管理平台集成</w:t>
            </w:r>
          </w:p>
        </w:tc>
        <w:tc>
          <w:tcPr>
            <w:tcW w:w="7512" w:type="dxa"/>
            <w:shd w:val="clear" w:color="auto" w:fill="auto"/>
            <w:vAlign w:val="center"/>
          </w:tcPr>
          <w:p w14:paraId="569FF36F">
            <w:pPr>
              <w:spacing w:after="0" w:line="240" w:lineRule="auto"/>
              <w:rPr>
                <w:rFonts w:ascii="宋体" w:hAnsi="宋体" w:eastAsia="宋体" w:cs="Calibri"/>
                <w:color w:val="000000"/>
                <w:sz w:val="21"/>
                <w:szCs w:val="21"/>
              </w:rPr>
            </w:pPr>
            <w:r>
              <w:rPr>
                <w:rFonts w:hint="eastAsia" w:ascii="宋体" w:hAnsi="宋体" w:eastAsia="宋体" w:cs="Calibri"/>
                <w:color w:val="000000"/>
                <w:sz w:val="21"/>
                <w:szCs w:val="21"/>
              </w:rPr>
              <w:t>★提供主流管理平台如VMware vCenter，Microsoft System Center，BMC Software的插件集成；能够连接常见的管理平台如Nagios &amp; Nagios XI,Oracle Enterprise Manager, HP Operations Manager,</w:t>
            </w:r>
            <w:r>
              <w:rPr>
                <w:rFonts w:hint="eastAsia" w:ascii="宋体" w:hAnsi="宋体" w:eastAsia="宋体" w:cs="Calibri"/>
                <w:color w:val="000000"/>
                <w:sz w:val="21"/>
                <w:szCs w:val="21"/>
              </w:rPr>
              <w:br w:type="textWrapping"/>
            </w:r>
            <w:r>
              <w:rPr>
                <w:rFonts w:hint="eastAsia" w:ascii="宋体" w:hAnsi="宋体" w:eastAsia="宋体" w:cs="Calibri"/>
                <w:color w:val="000000"/>
                <w:sz w:val="21"/>
                <w:szCs w:val="21"/>
              </w:rPr>
              <w:t>IBM Tivoli Netcool/OMNIbus, IBM Tivoli® Network Manager, CA Network and Systems Management</w:t>
            </w:r>
          </w:p>
        </w:tc>
      </w:tr>
      <w:tr w14:paraId="65F20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trPr>
        <w:tc>
          <w:tcPr>
            <w:tcW w:w="1560" w:type="dxa"/>
            <w:vMerge w:val="restart"/>
            <w:vAlign w:val="center"/>
          </w:tcPr>
          <w:p w14:paraId="70475330">
            <w:pPr>
              <w:spacing w:after="0" w:line="240" w:lineRule="auto"/>
              <w:rPr>
                <w:rFonts w:ascii="宋体" w:hAnsi="宋体" w:eastAsia="宋体" w:cs="Calibri"/>
                <w:color w:val="000000"/>
                <w:sz w:val="21"/>
                <w:szCs w:val="21"/>
              </w:rPr>
            </w:pPr>
            <w:r>
              <w:rPr>
                <w:rFonts w:hint="eastAsia" w:ascii="宋体" w:hAnsi="宋体" w:eastAsia="宋体" w:cs="Calibri"/>
                <w:color w:val="000000"/>
                <w:sz w:val="21"/>
                <w:szCs w:val="21"/>
              </w:rPr>
              <w:t>远程管理接口</w:t>
            </w:r>
          </w:p>
        </w:tc>
        <w:tc>
          <w:tcPr>
            <w:tcW w:w="7512" w:type="dxa"/>
            <w:vAlign w:val="center"/>
          </w:tcPr>
          <w:p w14:paraId="69D438C7">
            <w:pPr>
              <w:spacing w:after="0" w:line="240" w:lineRule="auto"/>
              <w:rPr>
                <w:rFonts w:ascii="宋体" w:hAnsi="宋体" w:eastAsia="宋体" w:cs="Calibri"/>
                <w:color w:val="000000"/>
                <w:sz w:val="21"/>
                <w:szCs w:val="21"/>
              </w:rPr>
            </w:pPr>
            <w:r>
              <w:rPr>
                <w:rFonts w:hint="eastAsia" w:ascii="宋体" w:hAnsi="宋体" w:eastAsia="宋体" w:cs="Calibri"/>
                <w:color w:val="000000"/>
                <w:sz w:val="21"/>
                <w:szCs w:val="21"/>
              </w:rPr>
              <w:t>配置远程管理卡，具有单独的管理网口，可不依赖主机操作系统进行远程操作。提供远程监控图形界面, 可实现与操作系统无关的远程对服务器的完全控制，包括远程的开关机、重启、更新Firmware, 虚拟KVM, 虚拟软驱, 虚拟光驱、虚拟介质重定向等操作；支持SNMP，IPMI和Redfish；支持IPv6。前置专用USB管理口</w:t>
            </w:r>
          </w:p>
        </w:tc>
      </w:tr>
      <w:tr w14:paraId="58C9C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trPr>
        <w:tc>
          <w:tcPr>
            <w:tcW w:w="1560" w:type="dxa"/>
            <w:vMerge w:val="continue"/>
            <w:vAlign w:val="center"/>
          </w:tcPr>
          <w:p w14:paraId="1131FFCB">
            <w:pPr>
              <w:spacing w:after="0" w:line="240" w:lineRule="auto"/>
              <w:rPr>
                <w:rFonts w:ascii="宋体" w:hAnsi="宋体" w:eastAsia="宋体" w:cs="Calibri"/>
                <w:color w:val="000000"/>
                <w:sz w:val="21"/>
                <w:szCs w:val="21"/>
              </w:rPr>
            </w:pPr>
          </w:p>
        </w:tc>
        <w:tc>
          <w:tcPr>
            <w:tcW w:w="7512" w:type="dxa"/>
            <w:vAlign w:val="center"/>
          </w:tcPr>
          <w:p w14:paraId="22315593">
            <w:pPr>
              <w:spacing w:after="0" w:line="240" w:lineRule="auto"/>
              <w:rPr>
                <w:rFonts w:ascii="宋体" w:hAnsi="宋体" w:eastAsia="宋体" w:cs="Calibri"/>
                <w:color w:val="000000"/>
                <w:sz w:val="21"/>
                <w:szCs w:val="21"/>
              </w:rPr>
            </w:pPr>
            <w:r>
              <w:rPr>
                <w:rFonts w:hint="eastAsia" w:ascii="宋体" w:hAnsi="宋体" w:eastAsia="宋体" w:cs="Calibri"/>
                <w:color w:val="000000"/>
                <w:sz w:val="21"/>
                <w:szCs w:val="21"/>
              </w:rPr>
              <w:t>能够利用SD卡保存操作系统安装镜像，从而实现一站式地完成操作系统的部署，包括内建驱动程序安装、固件更新、硬件配置和问题诊断。</w:t>
            </w:r>
          </w:p>
        </w:tc>
      </w:tr>
      <w:tr w14:paraId="648D9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560" w:type="dxa"/>
            <w:vMerge w:val="continue"/>
            <w:vAlign w:val="center"/>
          </w:tcPr>
          <w:p w14:paraId="2468773E">
            <w:pPr>
              <w:spacing w:after="0" w:line="240" w:lineRule="auto"/>
              <w:rPr>
                <w:rFonts w:ascii="宋体" w:hAnsi="宋体" w:eastAsia="宋体" w:cs="Calibri"/>
                <w:color w:val="000000"/>
                <w:sz w:val="21"/>
                <w:szCs w:val="21"/>
              </w:rPr>
            </w:pPr>
          </w:p>
        </w:tc>
        <w:tc>
          <w:tcPr>
            <w:tcW w:w="7512" w:type="dxa"/>
            <w:vAlign w:val="center"/>
          </w:tcPr>
          <w:p w14:paraId="4D004994">
            <w:pPr>
              <w:spacing w:after="0" w:line="240" w:lineRule="auto"/>
              <w:rPr>
                <w:rFonts w:ascii="宋体" w:hAnsi="宋体" w:eastAsia="宋体" w:cs="Calibri"/>
                <w:color w:val="000000"/>
                <w:sz w:val="21"/>
                <w:szCs w:val="21"/>
              </w:rPr>
            </w:pPr>
            <w:r>
              <w:rPr>
                <w:rFonts w:hint="eastAsia" w:ascii="宋体" w:hAnsi="宋体" w:eastAsia="宋体" w:cs="Calibri"/>
                <w:color w:val="000000"/>
                <w:sz w:val="21"/>
                <w:szCs w:val="21"/>
              </w:rPr>
              <w:t>全生命周期管理：从服务器出厂免光盘安装部署，到升级，监控，维护，直至报废涉及的方方面面提供全生命周期管理。</w:t>
            </w:r>
          </w:p>
        </w:tc>
      </w:tr>
      <w:tr w14:paraId="52600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560" w:type="dxa"/>
            <w:vAlign w:val="center"/>
          </w:tcPr>
          <w:p w14:paraId="37D1FDBF">
            <w:pPr>
              <w:adjustRightInd w:val="0"/>
              <w:snapToGrid w:val="0"/>
              <w:rPr>
                <w:rFonts w:ascii="宋体" w:hAnsi="宋体" w:eastAsia="宋体" w:cs="Calibri"/>
                <w:color w:val="000000"/>
                <w:sz w:val="21"/>
                <w:szCs w:val="21"/>
              </w:rPr>
            </w:pPr>
            <w:r>
              <w:rPr>
                <w:rFonts w:hint="eastAsia" w:ascii="宋体" w:hAnsi="宋体" w:eastAsia="宋体" w:cs="Calibri"/>
                <w:color w:val="000000"/>
                <w:sz w:val="21"/>
                <w:szCs w:val="21"/>
              </w:rPr>
              <w:t>正品要求</w:t>
            </w:r>
          </w:p>
        </w:tc>
        <w:tc>
          <w:tcPr>
            <w:tcW w:w="7512" w:type="dxa"/>
            <w:vAlign w:val="center"/>
          </w:tcPr>
          <w:p w14:paraId="6C4A9943">
            <w:pPr>
              <w:adjustRightInd w:val="0"/>
              <w:snapToGrid w:val="0"/>
              <w:rPr>
                <w:rFonts w:ascii="宋体" w:hAnsi="宋体" w:eastAsia="宋体" w:cs="Calibri"/>
                <w:color w:val="000000"/>
                <w:sz w:val="21"/>
                <w:szCs w:val="21"/>
              </w:rPr>
            </w:pPr>
            <w:r>
              <w:rPr>
                <w:rFonts w:hint="eastAsia" w:ascii="宋体" w:hAnsi="宋体" w:eastAsia="宋体" w:cs="Calibri"/>
                <w:color w:val="000000"/>
                <w:sz w:val="21"/>
                <w:szCs w:val="21"/>
              </w:rPr>
              <w:t>★要求原厂封装直发客户指定地址；</w:t>
            </w:r>
            <w:r>
              <w:rPr>
                <w:rFonts w:ascii="宋体" w:hAnsi="宋体" w:eastAsia="宋体" w:cs="Calibri"/>
                <w:color w:val="000000"/>
                <w:sz w:val="21"/>
                <w:szCs w:val="21"/>
              </w:rPr>
              <w:t>可在设备厂家官方根据产品服务编码查到</w:t>
            </w:r>
            <w:r>
              <w:rPr>
                <w:rFonts w:hint="eastAsia" w:ascii="宋体" w:hAnsi="宋体" w:eastAsia="宋体" w:cs="Calibri"/>
                <w:color w:val="000000"/>
                <w:sz w:val="21"/>
                <w:szCs w:val="21"/>
              </w:rPr>
              <w:t>对应</w:t>
            </w:r>
            <w:r>
              <w:rPr>
                <w:rFonts w:ascii="宋体" w:hAnsi="宋体" w:eastAsia="宋体" w:cs="Calibri"/>
                <w:color w:val="000000"/>
                <w:sz w:val="21"/>
                <w:szCs w:val="21"/>
              </w:rPr>
              <w:t>的保修信息及出厂配置</w:t>
            </w:r>
            <w:r>
              <w:rPr>
                <w:rFonts w:hint="eastAsia" w:ascii="宋体" w:hAnsi="宋体" w:eastAsia="宋体" w:cs="Calibri"/>
                <w:color w:val="000000"/>
                <w:sz w:val="21"/>
                <w:szCs w:val="21"/>
              </w:rPr>
              <w:t>和本招标要求一致，注册客户名称必须和本次项目招标方一致</w:t>
            </w:r>
          </w:p>
        </w:tc>
      </w:tr>
      <w:tr w14:paraId="3E4FF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60" w:type="dxa"/>
            <w:vAlign w:val="center"/>
          </w:tcPr>
          <w:p w14:paraId="7FF8170F">
            <w:pPr>
              <w:adjustRightInd w:val="0"/>
              <w:snapToGrid w:val="0"/>
              <w:rPr>
                <w:rFonts w:ascii="微软雅黑" w:hAnsi="微软雅黑" w:eastAsia="微软雅黑" w:cs="微软雅黑"/>
                <w:sz w:val="21"/>
                <w:szCs w:val="21"/>
              </w:rPr>
            </w:pPr>
            <w:r>
              <w:rPr>
                <w:rFonts w:hint="eastAsia" w:ascii="宋体" w:hAnsi="宋体" w:eastAsia="宋体" w:cs="Calibri"/>
                <w:color w:val="000000"/>
                <w:sz w:val="21"/>
                <w:szCs w:val="21"/>
              </w:rPr>
              <w:t>实施和售后服务</w:t>
            </w:r>
          </w:p>
        </w:tc>
        <w:tc>
          <w:tcPr>
            <w:tcW w:w="7512" w:type="dxa"/>
            <w:vAlign w:val="center"/>
          </w:tcPr>
          <w:p w14:paraId="49511560">
            <w:pPr>
              <w:adjustRightInd w:val="0"/>
              <w:snapToGrid w:val="0"/>
              <w:rPr>
                <w:rFonts w:ascii="微软雅黑" w:hAnsi="微软雅黑" w:eastAsia="微软雅黑" w:cs="微软雅黑"/>
                <w:sz w:val="21"/>
                <w:szCs w:val="21"/>
                <w:highlight w:val="yellow"/>
              </w:rPr>
            </w:pPr>
            <w:r>
              <w:rPr>
                <w:rFonts w:hint="eastAsia" w:ascii="宋体" w:hAnsi="宋体" w:eastAsia="宋体" w:cs="Calibri"/>
                <w:color w:val="000000"/>
                <w:sz w:val="21"/>
                <w:szCs w:val="21"/>
              </w:rPr>
              <w:t>★提供原厂三年7×24小时、4小时上门免费现场技术支持与售后服务，原厂安装部署服务</w:t>
            </w:r>
          </w:p>
        </w:tc>
      </w:tr>
    </w:tbl>
    <w:p w14:paraId="19231331">
      <w:pPr>
        <w:rPr>
          <w:rFonts w:ascii="宋体" w:hAnsi="宋体" w:eastAsia="宋体" w:cs="Calibri"/>
          <w:b/>
          <w:bCs/>
          <w:color w:val="000000"/>
          <w:sz w:val="21"/>
          <w:szCs w:val="21"/>
        </w:rPr>
      </w:pPr>
    </w:p>
    <w:p w14:paraId="36DBDAA5">
      <w:pPr>
        <w:rPr>
          <w:rFonts w:ascii="宋体" w:hAnsi="宋体" w:eastAsia="宋体" w:cs="Calibri"/>
          <w:b/>
          <w:bCs/>
          <w:color w:val="000000"/>
          <w:sz w:val="21"/>
          <w:szCs w:val="21"/>
        </w:rPr>
      </w:pPr>
      <w:r>
        <w:rPr>
          <w:rFonts w:hint="eastAsia" w:ascii="宋体" w:hAnsi="宋体" w:eastAsia="宋体" w:cs="Calibri"/>
          <w:b/>
          <w:bCs/>
          <w:color w:val="000000"/>
          <w:sz w:val="21"/>
          <w:szCs w:val="21"/>
        </w:rPr>
        <w:t>2.汇聚交换机</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8"/>
        <w:gridCol w:w="7104"/>
      </w:tblGrid>
      <w:tr w14:paraId="411DB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26" w:type="dxa"/>
          </w:tcPr>
          <w:p w14:paraId="76958885">
            <w:pPr>
              <w:jc w:val="center"/>
            </w:pPr>
            <w:r>
              <w:rPr>
                <w:rFonts w:ascii="微软雅黑" w:hAnsi="微软雅黑" w:eastAsia="微软雅黑" w:cs="微软雅黑"/>
                <w:b/>
                <w:bCs/>
                <w:sz w:val="18"/>
                <w:szCs w:val="18"/>
              </w:rPr>
              <w:t>指标项</w:t>
            </w:r>
          </w:p>
        </w:tc>
        <w:tc>
          <w:tcPr>
            <w:tcW w:w="7716" w:type="dxa"/>
          </w:tcPr>
          <w:p w14:paraId="4BF5CB42">
            <w:pPr>
              <w:jc w:val="center"/>
            </w:pPr>
            <w:r>
              <w:rPr>
                <w:rFonts w:hint="eastAsia" w:ascii="微软雅黑" w:hAnsi="微软雅黑" w:eastAsia="微软雅黑" w:cs="微软雅黑"/>
                <w:b/>
                <w:bCs/>
                <w:sz w:val="18"/>
                <w:szCs w:val="18"/>
              </w:rPr>
              <w:t>技术规格要求</w:t>
            </w:r>
          </w:p>
        </w:tc>
      </w:tr>
      <w:tr w14:paraId="45C73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14:paraId="00E83A9F">
            <w:pPr>
              <w:adjustRightInd w:val="0"/>
              <w:snapToGrid w:val="0"/>
            </w:pPr>
            <w:r>
              <w:rPr>
                <w:rFonts w:ascii="宋体" w:hAnsi="宋体" w:eastAsia="宋体" w:cs="Calibri"/>
                <w:color w:val="000000"/>
                <w:sz w:val="21"/>
                <w:szCs w:val="21"/>
              </w:rPr>
              <w:t>性能要求</w:t>
            </w:r>
          </w:p>
        </w:tc>
        <w:tc>
          <w:tcPr>
            <w:tcW w:w="7716" w:type="dxa"/>
          </w:tcPr>
          <w:p w14:paraId="0E9FFD7C">
            <w:r>
              <w:rPr>
                <w:rFonts w:hint="eastAsia" w:ascii="宋体" w:hAnsi="宋体" w:eastAsia="宋体" w:cs="Calibri"/>
                <w:color w:val="000000"/>
                <w:sz w:val="21"/>
                <w:szCs w:val="21"/>
              </w:rPr>
              <w:t>★交换容量≥</w:t>
            </w:r>
            <w:r>
              <w:rPr>
                <w:rFonts w:ascii="宋体" w:hAnsi="宋体" w:eastAsia="宋体" w:cs="Calibri"/>
                <w:color w:val="000000"/>
                <w:sz w:val="21"/>
                <w:szCs w:val="21"/>
              </w:rPr>
              <w:t>2.5Tbps，包转发率≥1600Mpps</w:t>
            </w:r>
            <w:r>
              <w:rPr>
                <w:rFonts w:hint="eastAsia" w:ascii="宋体" w:hAnsi="宋体" w:eastAsia="宋体" w:cs="Calibri"/>
                <w:color w:val="000000"/>
                <w:sz w:val="21"/>
                <w:szCs w:val="21"/>
              </w:rPr>
              <w:t>；支持</w:t>
            </w:r>
            <w:r>
              <w:rPr>
                <w:rFonts w:ascii="宋体" w:hAnsi="宋体" w:eastAsia="宋体" w:cs="Calibri"/>
                <w:color w:val="000000"/>
                <w:sz w:val="21"/>
                <w:szCs w:val="21"/>
              </w:rPr>
              <w:t>48个万兆SFP+端口，6个40G QSFP+端口。</w:t>
            </w:r>
          </w:p>
        </w:tc>
      </w:tr>
      <w:tr w14:paraId="2981F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526" w:type="dxa"/>
            <w:vMerge w:val="restart"/>
          </w:tcPr>
          <w:p w14:paraId="7F9F723B">
            <w:pPr>
              <w:adjustRightInd w:val="0"/>
              <w:snapToGrid w:val="0"/>
              <w:rPr>
                <w:rFonts w:ascii="宋体" w:hAnsi="宋体" w:eastAsia="宋体" w:cs="Calibri"/>
                <w:color w:val="000000"/>
                <w:sz w:val="21"/>
                <w:szCs w:val="21"/>
              </w:rPr>
            </w:pPr>
            <w:r>
              <w:rPr>
                <w:rFonts w:ascii="宋体" w:hAnsi="宋体" w:eastAsia="宋体" w:cs="Calibri"/>
                <w:color w:val="000000"/>
                <w:sz w:val="21"/>
                <w:szCs w:val="21"/>
              </w:rPr>
              <w:t>可靠性要求</w:t>
            </w:r>
          </w:p>
        </w:tc>
        <w:tc>
          <w:tcPr>
            <w:tcW w:w="7716" w:type="dxa"/>
          </w:tcPr>
          <w:p w14:paraId="2A59A8EE">
            <w:pPr>
              <w:adjustRightInd w:val="0"/>
              <w:snapToGrid w:val="0"/>
              <w:rPr>
                <w:rFonts w:ascii="宋体" w:hAnsi="宋体" w:eastAsia="宋体" w:cs="Calibri"/>
                <w:color w:val="000000"/>
                <w:sz w:val="21"/>
                <w:szCs w:val="21"/>
              </w:rPr>
            </w:pPr>
            <w:r>
              <w:rPr>
                <w:rFonts w:hint="eastAsia" w:ascii="宋体" w:hAnsi="宋体" w:eastAsia="宋体" w:cs="Calibri"/>
                <w:color w:val="000000"/>
                <w:sz w:val="21"/>
                <w:szCs w:val="21"/>
              </w:rPr>
              <w:t>为了提高设备可靠性，支持可插拔双电源。</w:t>
            </w:r>
          </w:p>
        </w:tc>
      </w:tr>
      <w:tr w14:paraId="18758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526" w:type="dxa"/>
            <w:vMerge w:val="continue"/>
          </w:tcPr>
          <w:p w14:paraId="6510AC67">
            <w:pPr>
              <w:adjustRightInd w:val="0"/>
              <w:snapToGrid w:val="0"/>
              <w:rPr>
                <w:rFonts w:ascii="宋体" w:hAnsi="宋体" w:eastAsia="宋体" w:cs="Calibri"/>
                <w:color w:val="000000"/>
                <w:sz w:val="21"/>
                <w:szCs w:val="21"/>
              </w:rPr>
            </w:pPr>
          </w:p>
        </w:tc>
        <w:tc>
          <w:tcPr>
            <w:tcW w:w="7716" w:type="dxa"/>
          </w:tcPr>
          <w:p w14:paraId="27C5D292">
            <w:pPr>
              <w:adjustRightInd w:val="0"/>
              <w:snapToGrid w:val="0"/>
              <w:rPr>
                <w:rFonts w:ascii="宋体" w:hAnsi="宋体" w:eastAsia="宋体" w:cs="Calibri"/>
                <w:color w:val="000000"/>
                <w:sz w:val="21"/>
                <w:szCs w:val="21"/>
              </w:rPr>
            </w:pPr>
            <w:r>
              <w:rPr>
                <w:rFonts w:hint="eastAsia" w:ascii="宋体" w:hAnsi="宋体" w:eastAsia="宋体" w:cs="Calibri"/>
                <w:color w:val="000000"/>
                <w:sz w:val="21"/>
                <w:szCs w:val="21"/>
              </w:rPr>
              <w:t>★为了提高设备散热性能，支持可插拔风扇框，风扇框个数≥</w:t>
            </w:r>
            <w:r>
              <w:rPr>
                <w:rFonts w:ascii="宋体" w:hAnsi="宋体" w:eastAsia="宋体" w:cs="Calibri"/>
                <w:color w:val="000000"/>
                <w:sz w:val="21"/>
                <w:szCs w:val="21"/>
              </w:rPr>
              <w:t>4。</w:t>
            </w:r>
          </w:p>
        </w:tc>
      </w:tr>
      <w:tr w14:paraId="001F4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526" w:type="dxa"/>
            <w:vMerge w:val="restart"/>
          </w:tcPr>
          <w:p w14:paraId="1596A2BB">
            <w:pPr>
              <w:adjustRightInd w:val="0"/>
              <w:snapToGrid w:val="0"/>
              <w:rPr>
                <w:rFonts w:ascii="宋体" w:hAnsi="宋体" w:eastAsia="宋体" w:cs="Calibri"/>
                <w:color w:val="000000"/>
                <w:sz w:val="21"/>
                <w:szCs w:val="21"/>
              </w:rPr>
            </w:pPr>
            <w:r>
              <w:rPr>
                <w:rFonts w:ascii="宋体" w:hAnsi="宋体" w:eastAsia="宋体" w:cs="Calibri"/>
                <w:color w:val="000000"/>
                <w:sz w:val="21"/>
                <w:szCs w:val="21"/>
              </w:rPr>
              <w:t>管理要求</w:t>
            </w:r>
          </w:p>
        </w:tc>
        <w:tc>
          <w:tcPr>
            <w:tcW w:w="7716" w:type="dxa"/>
          </w:tcPr>
          <w:p w14:paraId="723C9335">
            <w:pPr>
              <w:adjustRightInd w:val="0"/>
              <w:snapToGrid w:val="0"/>
              <w:rPr>
                <w:rFonts w:ascii="宋体" w:hAnsi="宋体" w:eastAsia="宋体" w:cs="Calibri"/>
                <w:color w:val="000000"/>
                <w:sz w:val="21"/>
                <w:szCs w:val="21"/>
              </w:rPr>
            </w:pPr>
            <w:r>
              <w:rPr>
                <w:rFonts w:hint="eastAsia" w:ascii="宋体" w:hAnsi="宋体" w:eastAsia="宋体" w:cs="Calibri"/>
                <w:color w:val="000000"/>
                <w:sz w:val="21"/>
                <w:szCs w:val="21"/>
              </w:rPr>
              <w:t>支持静态路由、</w:t>
            </w:r>
            <w:r>
              <w:rPr>
                <w:rFonts w:ascii="宋体" w:hAnsi="宋体" w:eastAsia="宋体" w:cs="Calibri"/>
                <w:color w:val="000000"/>
                <w:sz w:val="21"/>
                <w:szCs w:val="21"/>
              </w:rPr>
              <w:t>RIP V1/2、URPF、OSPF、IS-IS、BGP、RIPng、OSPFv3、BGP4+、ISISv6</w:t>
            </w:r>
          </w:p>
        </w:tc>
      </w:tr>
      <w:tr w14:paraId="0A63F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1526" w:type="dxa"/>
            <w:vMerge w:val="continue"/>
          </w:tcPr>
          <w:p w14:paraId="0911299A">
            <w:pPr>
              <w:adjustRightInd w:val="0"/>
              <w:snapToGrid w:val="0"/>
              <w:rPr>
                <w:rFonts w:ascii="宋体" w:hAnsi="宋体" w:eastAsia="宋体" w:cs="Calibri"/>
                <w:color w:val="000000"/>
                <w:sz w:val="21"/>
                <w:szCs w:val="21"/>
              </w:rPr>
            </w:pPr>
          </w:p>
        </w:tc>
        <w:tc>
          <w:tcPr>
            <w:tcW w:w="7716" w:type="dxa"/>
          </w:tcPr>
          <w:p w14:paraId="2924170F">
            <w:pPr>
              <w:adjustRightInd w:val="0"/>
              <w:snapToGrid w:val="0"/>
              <w:rPr>
                <w:rFonts w:ascii="宋体" w:hAnsi="宋体" w:eastAsia="宋体" w:cs="Calibri"/>
                <w:color w:val="000000"/>
                <w:sz w:val="21"/>
                <w:szCs w:val="21"/>
              </w:rPr>
            </w:pPr>
            <w:r>
              <w:rPr>
                <w:rFonts w:hint="eastAsia" w:ascii="宋体" w:hAnsi="宋体" w:eastAsia="宋体" w:cs="Calibri"/>
                <w:color w:val="000000"/>
                <w:sz w:val="21"/>
                <w:szCs w:val="21"/>
              </w:rPr>
              <w:t>★支持</w:t>
            </w:r>
            <w:r>
              <w:rPr>
                <w:rFonts w:ascii="宋体" w:hAnsi="宋体" w:eastAsia="宋体" w:cs="Calibri"/>
                <w:color w:val="000000"/>
                <w:sz w:val="21"/>
                <w:szCs w:val="21"/>
              </w:rPr>
              <w:t>IPv4路由表项≥256K，提供官网截图证明</w:t>
            </w:r>
          </w:p>
        </w:tc>
      </w:tr>
      <w:tr w14:paraId="71102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526" w:type="dxa"/>
            <w:vMerge w:val="continue"/>
          </w:tcPr>
          <w:p w14:paraId="79B74095">
            <w:pPr>
              <w:adjustRightInd w:val="0"/>
              <w:snapToGrid w:val="0"/>
              <w:rPr>
                <w:rFonts w:ascii="宋体" w:hAnsi="宋体" w:eastAsia="宋体" w:cs="Calibri"/>
                <w:color w:val="000000"/>
                <w:sz w:val="21"/>
                <w:szCs w:val="21"/>
              </w:rPr>
            </w:pPr>
          </w:p>
        </w:tc>
        <w:tc>
          <w:tcPr>
            <w:tcW w:w="7716" w:type="dxa"/>
          </w:tcPr>
          <w:p w14:paraId="3353BCA3">
            <w:pPr>
              <w:adjustRightInd w:val="0"/>
              <w:snapToGrid w:val="0"/>
              <w:rPr>
                <w:rFonts w:ascii="宋体" w:hAnsi="宋体" w:eastAsia="宋体" w:cs="Calibri"/>
                <w:color w:val="000000"/>
                <w:sz w:val="21"/>
                <w:szCs w:val="21"/>
              </w:rPr>
            </w:pPr>
            <w:r>
              <w:rPr>
                <w:rFonts w:hint="eastAsia" w:ascii="宋体" w:hAnsi="宋体" w:eastAsia="宋体" w:cs="Calibri"/>
                <w:color w:val="000000"/>
                <w:sz w:val="21"/>
                <w:szCs w:val="21"/>
              </w:rPr>
              <w:t>★支持</w:t>
            </w:r>
            <w:r>
              <w:rPr>
                <w:rFonts w:ascii="宋体" w:hAnsi="宋体" w:eastAsia="宋体" w:cs="Calibri"/>
                <w:color w:val="000000"/>
                <w:sz w:val="21"/>
                <w:szCs w:val="21"/>
              </w:rPr>
              <w:t>IPv6路由表项≥128K，提供官网截图证明</w:t>
            </w:r>
          </w:p>
        </w:tc>
      </w:tr>
      <w:tr w14:paraId="6807F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trPr>
        <w:tc>
          <w:tcPr>
            <w:tcW w:w="1526" w:type="dxa"/>
            <w:vMerge w:val="continue"/>
          </w:tcPr>
          <w:p w14:paraId="73A78802">
            <w:pPr>
              <w:adjustRightInd w:val="0"/>
              <w:snapToGrid w:val="0"/>
              <w:rPr>
                <w:rFonts w:ascii="宋体" w:hAnsi="宋体" w:eastAsia="宋体" w:cs="Calibri"/>
                <w:color w:val="000000"/>
                <w:sz w:val="21"/>
                <w:szCs w:val="21"/>
              </w:rPr>
            </w:pPr>
          </w:p>
        </w:tc>
        <w:tc>
          <w:tcPr>
            <w:tcW w:w="7716" w:type="dxa"/>
          </w:tcPr>
          <w:p w14:paraId="2CBEF5CA">
            <w:pPr>
              <w:adjustRightInd w:val="0"/>
              <w:snapToGrid w:val="0"/>
              <w:rPr>
                <w:rFonts w:ascii="宋体" w:hAnsi="宋体" w:eastAsia="宋体" w:cs="Calibri"/>
                <w:color w:val="000000"/>
                <w:sz w:val="21"/>
                <w:szCs w:val="21"/>
              </w:rPr>
            </w:pPr>
            <w:r>
              <w:rPr>
                <w:rFonts w:hint="eastAsia" w:ascii="宋体" w:hAnsi="宋体" w:eastAsia="宋体" w:cs="Calibri"/>
                <w:color w:val="000000"/>
                <w:sz w:val="21"/>
                <w:szCs w:val="21"/>
              </w:rPr>
              <w:t>支持</w:t>
            </w:r>
            <w:r>
              <w:rPr>
                <w:rFonts w:ascii="宋体" w:hAnsi="宋体" w:eastAsia="宋体" w:cs="Calibri"/>
                <w:color w:val="000000"/>
                <w:sz w:val="21"/>
                <w:szCs w:val="21"/>
              </w:rPr>
              <w:t>DRR、SP、DRR+SP队列调度算法，提供官网截图证明</w:t>
            </w:r>
          </w:p>
        </w:tc>
      </w:tr>
      <w:tr w14:paraId="6EDE5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1526" w:type="dxa"/>
            <w:vMerge w:val="continue"/>
          </w:tcPr>
          <w:p w14:paraId="6F2CC3B0">
            <w:pPr>
              <w:adjustRightInd w:val="0"/>
              <w:snapToGrid w:val="0"/>
              <w:rPr>
                <w:rFonts w:ascii="宋体" w:hAnsi="宋体" w:eastAsia="宋体" w:cs="Calibri"/>
                <w:color w:val="000000"/>
                <w:sz w:val="21"/>
                <w:szCs w:val="21"/>
              </w:rPr>
            </w:pPr>
          </w:p>
        </w:tc>
        <w:tc>
          <w:tcPr>
            <w:tcW w:w="7716" w:type="dxa"/>
          </w:tcPr>
          <w:p w14:paraId="25DDD671">
            <w:pPr>
              <w:adjustRightInd w:val="0"/>
              <w:snapToGrid w:val="0"/>
              <w:rPr>
                <w:rFonts w:ascii="宋体" w:hAnsi="宋体" w:eastAsia="宋体" w:cs="Calibri"/>
                <w:color w:val="000000"/>
                <w:sz w:val="21"/>
                <w:szCs w:val="21"/>
              </w:rPr>
            </w:pPr>
            <w:r>
              <w:rPr>
                <w:rFonts w:hint="eastAsia" w:ascii="宋体" w:hAnsi="宋体" w:eastAsia="宋体" w:cs="Calibri"/>
                <w:color w:val="000000"/>
                <w:sz w:val="21"/>
                <w:szCs w:val="21"/>
              </w:rPr>
              <w:t>支持报文的</w:t>
            </w:r>
            <w:r>
              <w:rPr>
                <w:rFonts w:ascii="宋体" w:hAnsi="宋体" w:eastAsia="宋体" w:cs="Calibri"/>
                <w:color w:val="000000"/>
                <w:sz w:val="21"/>
                <w:szCs w:val="21"/>
              </w:rPr>
              <w:t>802.1p和DSCP优先级重新标记，提供官网截图证明</w:t>
            </w:r>
          </w:p>
        </w:tc>
      </w:tr>
      <w:tr w14:paraId="6E150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1526" w:type="dxa"/>
            <w:vMerge w:val="continue"/>
          </w:tcPr>
          <w:p w14:paraId="1D6B38AA">
            <w:pPr>
              <w:adjustRightInd w:val="0"/>
              <w:snapToGrid w:val="0"/>
              <w:rPr>
                <w:rFonts w:ascii="宋体" w:hAnsi="宋体" w:eastAsia="宋体" w:cs="Calibri"/>
                <w:color w:val="000000"/>
                <w:sz w:val="21"/>
                <w:szCs w:val="21"/>
              </w:rPr>
            </w:pPr>
          </w:p>
        </w:tc>
        <w:tc>
          <w:tcPr>
            <w:tcW w:w="7716" w:type="dxa"/>
          </w:tcPr>
          <w:p w14:paraId="2DC36102">
            <w:pPr>
              <w:adjustRightInd w:val="0"/>
              <w:snapToGrid w:val="0"/>
              <w:rPr>
                <w:rFonts w:ascii="宋体" w:hAnsi="宋体" w:eastAsia="宋体" w:cs="Calibri"/>
                <w:color w:val="000000"/>
                <w:sz w:val="21"/>
                <w:szCs w:val="21"/>
              </w:rPr>
            </w:pPr>
            <w:r>
              <w:rPr>
                <w:rFonts w:hint="eastAsia" w:ascii="宋体" w:hAnsi="宋体" w:eastAsia="宋体" w:cs="Calibri"/>
                <w:color w:val="000000"/>
                <w:sz w:val="21"/>
                <w:szCs w:val="21"/>
              </w:rPr>
              <w:t>支持</w:t>
            </w:r>
            <w:r>
              <w:rPr>
                <w:rFonts w:ascii="宋体" w:hAnsi="宋体" w:eastAsia="宋体" w:cs="Calibri"/>
                <w:color w:val="000000"/>
                <w:sz w:val="21"/>
                <w:szCs w:val="21"/>
              </w:rPr>
              <w:t xml:space="preserve"> Telemetry 技术，实时采集设备数据并上送至网络分析组件平台，通过智能故障识别算法对网络数据进行分析，精准展现网络实时状态，及时定界故障以及故障发生原因，精准保障用户体验，提供官网截图证明</w:t>
            </w:r>
          </w:p>
        </w:tc>
      </w:tr>
      <w:tr w14:paraId="74E1B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1526" w:type="dxa"/>
            <w:vMerge w:val="continue"/>
          </w:tcPr>
          <w:p w14:paraId="77B3D6F5">
            <w:pPr>
              <w:adjustRightInd w:val="0"/>
              <w:snapToGrid w:val="0"/>
              <w:rPr>
                <w:rFonts w:ascii="宋体" w:hAnsi="宋体" w:eastAsia="宋体" w:cs="Calibri"/>
                <w:color w:val="000000"/>
                <w:sz w:val="21"/>
                <w:szCs w:val="21"/>
              </w:rPr>
            </w:pPr>
          </w:p>
        </w:tc>
        <w:tc>
          <w:tcPr>
            <w:tcW w:w="7716" w:type="dxa"/>
          </w:tcPr>
          <w:p w14:paraId="17479631">
            <w:pPr>
              <w:adjustRightInd w:val="0"/>
              <w:snapToGrid w:val="0"/>
              <w:rPr>
                <w:rFonts w:ascii="宋体" w:hAnsi="宋体" w:eastAsia="宋体" w:cs="Calibri"/>
                <w:color w:val="000000"/>
                <w:sz w:val="21"/>
                <w:szCs w:val="21"/>
              </w:rPr>
            </w:pPr>
            <w:r>
              <w:rPr>
                <w:rFonts w:hint="eastAsia" w:ascii="宋体" w:hAnsi="宋体" w:eastAsia="宋体" w:cs="Calibri"/>
                <w:color w:val="000000"/>
                <w:sz w:val="21"/>
                <w:szCs w:val="21"/>
              </w:rPr>
              <w:t>支持本地管理和云盒两种方式，可以通过云管理平台对交换机进行云端配置、监控、巡检等，减少部署和运维的投入，降低网络的</w:t>
            </w:r>
            <w:r>
              <w:rPr>
                <w:rFonts w:ascii="宋体" w:hAnsi="宋体" w:eastAsia="宋体" w:cs="Calibri"/>
                <w:color w:val="000000"/>
                <w:sz w:val="21"/>
                <w:szCs w:val="21"/>
              </w:rPr>
              <w:t>OPEX，提供官网截图证明</w:t>
            </w:r>
          </w:p>
        </w:tc>
      </w:tr>
      <w:tr w14:paraId="48616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1526" w:type="dxa"/>
            <w:vMerge w:val="continue"/>
          </w:tcPr>
          <w:p w14:paraId="66664048">
            <w:pPr>
              <w:adjustRightInd w:val="0"/>
              <w:snapToGrid w:val="0"/>
              <w:rPr>
                <w:rFonts w:ascii="宋体" w:hAnsi="宋体" w:eastAsia="宋体" w:cs="Calibri"/>
                <w:color w:val="000000"/>
                <w:sz w:val="21"/>
                <w:szCs w:val="21"/>
              </w:rPr>
            </w:pPr>
          </w:p>
        </w:tc>
        <w:tc>
          <w:tcPr>
            <w:tcW w:w="7716" w:type="dxa"/>
          </w:tcPr>
          <w:p w14:paraId="03FC9DBB">
            <w:pPr>
              <w:adjustRightInd w:val="0"/>
              <w:snapToGrid w:val="0"/>
              <w:rPr>
                <w:rFonts w:ascii="宋体" w:hAnsi="宋体" w:eastAsia="宋体" w:cs="Calibri"/>
                <w:color w:val="000000"/>
                <w:sz w:val="21"/>
                <w:szCs w:val="21"/>
              </w:rPr>
            </w:pPr>
            <w:r>
              <w:rPr>
                <w:rFonts w:hint="eastAsia" w:ascii="宋体" w:hAnsi="宋体" w:eastAsia="宋体" w:cs="Calibri"/>
                <w:color w:val="000000"/>
                <w:sz w:val="21"/>
                <w:szCs w:val="21"/>
              </w:rPr>
              <w:t>★为了方便管理，所投产品需与院内网管平台无缝对接并提供证明。</w:t>
            </w:r>
          </w:p>
        </w:tc>
      </w:tr>
      <w:tr w14:paraId="5DA43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1526" w:type="dxa"/>
            <w:vMerge w:val="restart"/>
          </w:tcPr>
          <w:p w14:paraId="46D6730F">
            <w:pPr>
              <w:adjustRightInd w:val="0"/>
              <w:snapToGrid w:val="0"/>
              <w:rPr>
                <w:rFonts w:ascii="宋体" w:hAnsi="宋体" w:eastAsia="宋体" w:cs="Calibri"/>
                <w:color w:val="000000"/>
                <w:sz w:val="21"/>
                <w:szCs w:val="21"/>
              </w:rPr>
            </w:pPr>
            <w:r>
              <w:rPr>
                <w:rFonts w:ascii="宋体" w:hAnsi="宋体" w:eastAsia="宋体" w:cs="Calibri"/>
                <w:color w:val="000000"/>
                <w:sz w:val="21"/>
                <w:szCs w:val="21"/>
              </w:rPr>
              <w:t>原厂商服务要求</w:t>
            </w:r>
          </w:p>
        </w:tc>
        <w:tc>
          <w:tcPr>
            <w:tcW w:w="7716" w:type="dxa"/>
          </w:tcPr>
          <w:p w14:paraId="12FDB09E">
            <w:pPr>
              <w:adjustRightInd w:val="0"/>
              <w:snapToGrid w:val="0"/>
              <w:rPr>
                <w:rFonts w:ascii="宋体" w:hAnsi="宋体" w:eastAsia="宋体" w:cs="Calibri"/>
                <w:color w:val="000000"/>
                <w:sz w:val="21"/>
                <w:szCs w:val="21"/>
              </w:rPr>
            </w:pPr>
            <w:r>
              <w:rPr>
                <w:rFonts w:hint="eastAsia" w:ascii="宋体" w:hAnsi="宋体" w:eastAsia="宋体" w:cs="Calibri"/>
                <w:color w:val="000000"/>
                <w:sz w:val="21"/>
                <w:szCs w:val="21"/>
              </w:rPr>
              <w:t>提供三年</w:t>
            </w:r>
            <w:r>
              <w:rPr>
                <w:rFonts w:ascii="宋体" w:hAnsi="宋体" w:eastAsia="宋体" w:cs="Calibri"/>
                <w:color w:val="000000"/>
                <w:sz w:val="21"/>
                <w:szCs w:val="21"/>
              </w:rPr>
              <w:t>7*24</w:t>
            </w:r>
            <w:r>
              <w:rPr>
                <w:rFonts w:hint="eastAsia" w:ascii="宋体" w:hAnsi="宋体" w:eastAsia="宋体" w:cs="Calibri"/>
                <w:color w:val="000000"/>
                <w:sz w:val="21"/>
                <w:szCs w:val="21"/>
              </w:rPr>
              <w:t>硬件质保及售后服务；</w:t>
            </w:r>
          </w:p>
        </w:tc>
      </w:tr>
      <w:tr w14:paraId="224C1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526" w:type="dxa"/>
            <w:vMerge w:val="continue"/>
          </w:tcPr>
          <w:p w14:paraId="71869852">
            <w:pPr>
              <w:adjustRightInd w:val="0"/>
              <w:snapToGrid w:val="0"/>
              <w:rPr>
                <w:rFonts w:ascii="宋体" w:hAnsi="宋体" w:eastAsia="宋体" w:cs="Calibri"/>
                <w:color w:val="000000"/>
                <w:sz w:val="21"/>
                <w:szCs w:val="21"/>
              </w:rPr>
            </w:pPr>
          </w:p>
        </w:tc>
        <w:tc>
          <w:tcPr>
            <w:tcW w:w="7716" w:type="dxa"/>
          </w:tcPr>
          <w:p w14:paraId="4D326164">
            <w:pPr>
              <w:adjustRightInd w:val="0"/>
              <w:snapToGrid w:val="0"/>
              <w:rPr>
                <w:rFonts w:ascii="宋体" w:hAnsi="宋体" w:eastAsia="宋体" w:cs="Calibri"/>
                <w:color w:val="000000"/>
                <w:sz w:val="21"/>
                <w:szCs w:val="21"/>
              </w:rPr>
            </w:pPr>
            <w:r>
              <w:rPr>
                <w:rFonts w:hint="eastAsia" w:ascii="宋体" w:hAnsi="宋体" w:eastAsia="宋体" w:cs="Calibri"/>
                <w:color w:val="000000"/>
                <w:sz w:val="21"/>
                <w:szCs w:val="21"/>
              </w:rPr>
              <w:t>提供原厂针对本项目的原厂授权函；</w:t>
            </w:r>
          </w:p>
        </w:tc>
      </w:tr>
    </w:tbl>
    <w:p w14:paraId="20D98B71"/>
    <w:p w14:paraId="0F55A221">
      <w:pPr>
        <w:rPr>
          <w:rFonts w:ascii="宋体" w:hAnsi="宋体" w:eastAsia="宋体" w:cs="Calibri"/>
          <w:b/>
          <w:bCs/>
          <w:color w:val="000000"/>
          <w:sz w:val="21"/>
          <w:szCs w:val="21"/>
        </w:rPr>
      </w:pPr>
      <w:r>
        <w:rPr>
          <w:rFonts w:hint="eastAsia" w:ascii="宋体" w:hAnsi="宋体" w:eastAsia="宋体" w:cs="Calibri"/>
          <w:b/>
          <w:bCs/>
          <w:color w:val="000000"/>
          <w:sz w:val="21"/>
          <w:szCs w:val="21"/>
        </w:rPr>
        <w:t>3.</w:t>
      </w:r>
      <w:r>
        <w:rPr>
          <w:rFonts w:ascii="宋体" w:hAnsi="宋体" w:eastAsia="宋体" w:cs="Calibri"/>
          <w:b/>
          <w:bCs/>
          <w:color w:val="000000"/>
          <w:sz w:val="21"/>
          <w:szCs w:val="21"/>
        </w:rPr>
        <w:t>防火墙板卡</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7"/>
        <w:gridCol w:w="7095"/>
      </w:tblGrid>
      <w:tr w14:paraId="5A040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14:paraId="02FDCC7B">
            <w:pPr>
              <w:jc w:val="center"/>
              <w:rPr>
                <w:rFonts w:ascii="宋体" w:hAnsi="宋体" w:eastAsia="宋体" w:cs="Calibri"/>
                <w:b/>
                <w:bCs/>
                <w:color w:val="000000"/>
                <w:sz w:val="21"/>
                <w:szCs w:val="21"/>
              </w:rPr>
            </w:pPr>
            <w:r>
              <w:rPr>
                <w:rFonts w:ascii="微软雅黑" w:hAnsi="微软雅黑" w:eastAsia="微软雅黑" w:cs="微软雅黑"/>
                <w:b/>
                <w:bCs/>
                <w:sz w:val="18"/>
                <w:szCs w:val="18"/>
              </w:rPr>
              <w:t>指标项</w:t>
            </w:r>
          </w:p>
        </w:tc>
        <w:tc>
          <w:tcPr>
            <w:tcW w:w="7716" w:type="dxa"/>
          </w:tcPr>
          <w:p w14:paraId="34F0EA2B">
            <w:pPr>
              <w:jc w:val="center"/>
              <w:rPr>
                <w:rFonts w:ascii="宋体" w:hAnsi="宋体" w:eastAsia="宋体" w:cs="Calibri"/>
                <w:b/>
                <w:bCs/>
                <w:color w:val="000000"/>
                <w:sz w:val="21"/>
                <w:szCs w:val="21"/>
              </w:rPr>
            </w:pPr>
            <w:r>
              <w:rPr>
                <w:rFonts w:hint="eastAsia" w:ascii="微软雅黑" w:hAnsi="微软雅黑" w:eastAsia="微软雅黑" w:cs="微软雅黑"/>
                <w:b/>
                <w:bCs/>
                <w:sz w:val="18"/>
                <w:szCs w:val="18"/>
              </w:rPr>
              <w:t>技术规格要求</w:t>
            </w:r>
          </w:p>
        </w:tc>
      </w:tr>
      <w:tr w14:paraId="67F46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14:paraId="495968D1">
            <w:pPr>
              <w:adjustRightInd w:val="0"/>
              <w:snapToGrid w:val="0"/>
              <w:rPr>
                <w:rFonts w:ascii="宋体" w:hAnsi="宋体" w:eastAsia="宋体" w:cs="Calibri"/>
                <w:color w:val="000000"/>
                <w:sz w:val="21"/>
                <w:szCs w:val="21"/>
              </w:rPr>
            </w:pPr>
            <w:r>
              <w:rPr>
                <w:rFonts w:ascii="宋体" w:hAnsi="宋体" w:eastAsia="宋体" w:cs="Calibri"/>
                <w:color w:val="000000"/>
                <w:sz w:val="21"/>
                <w:szCs w:val="21"/>
              </w:rPr>
              <w:t>硬件要求</w:t>
            </w:r>
          </w:p>
        </w:tc>
        <w:tc>
          <w:tcPr>
            <w:tcW w:w="7716" w:type="dxa"/>
          </w:tcPr>
          <w:p w14:paraId="51137D2E">
            <w:pPr>
              <w:adjustRightInd w:val="0"/>
              <w:snapToGrid w:val="0"/>
              <w:rPr>
                <w:rFonts w:ascii="宋体" w:hAnsi="宋体" w:eastAsia="宋体" w:cs="Calibri"/>
                <w:color w:val="000000"/>
                <w:sz w:val="21"/>
                <w:szCs w:val="21"/>
              </w:rPr>
            </w:pPr>
            <w:r>
              <w:rPr>
                <w:rFonts w:ascii="宋体" w:hAnsi="宋体" w:eastAsia="宋体" w:cs="Calibri"/>
                <w:color w:val="000000"/>
                <w:sz w:val="21"/>
                <w:szCs w:val="21"/>
              </w:rPr>
              <w:t>提供原有防火墙</w:t>
            </w:r>
            <w:r>
              <w:rPr>
                <w:rFonts w:hint="eastAsia" w:ascii="宋体" w:hAnsi="宋体" w:eastAsia="宋体" w:cs="Calibri"/>
                <w:color w:val="000000"/>
                <w:sz w:val="21"/>
                <w:szCs w:val="21"/>
              </w:rPr>
              <w:t>F3510E万兆光口扩展卡1块，配置≥2个万兆光口</w:t>
            </w:r>
          </w:p>
        </w:tc>
      </w:tr>
    </w:tbl>
    <w:p w14:paraId="2E72D9B8">
      <w:pPr>
        <w:rPr>
          <w:rFonts w:ascii="宋体" w:hAnsi="宋体" w:eastAsia="宋体" w:cs="Calibri"/>
          <w:b/>
          <w:bCs/>
          <w:color w:val="000000"/>
          <w:sz w:val="21"/>
          <w:szCs w:val="21"/>
        </w:rPr>
      </w:pPr>
    </w:p>
    <w:p w14:paraId="165CE771">
      <w:pPr>
        <w:rPr>
          <w:rFonts w:ascii="宋体" w:hAnsi="宋体" w:eastAsia="宋体" w:cs="Calibri"/>
          <w:b/>
          <w:bCs/>
          <w:color w:val="000000"/>
          <w:szCs w:val="21"/>
        </w:rPr>
      </w:pPr>
    </w:p>
    <w:p w14:paraId="4E54863B">
      <w:pPr>
        <w:rPr>
          <w:rFonts w:ascii="宋体" w:hAnsi="宋体" w:eastAsia="宋体" w:cs="Calibri"/>
          <w:b/>
          <w:bCs/>
          <w:color w:val="000000"/>
          <w:szCs w:val="21"/>
        </w:rPr>
      </w:pPr>
    </w:p>
    <w:p w14:paraId="64A826C4">
      <w:pPr>
        <w:rPr>
          <w:rFonts w:hint="default" w:ascii="宋体" w:hAnsi="宋体" w:eastAsia="宋体" w:cs="Calibri"/>
          <w:b/>
          <w:bCs/>
          <w:color w:val="000000"/>
          <w:szCs w:val="21"/>
          <w:lang w:val="en-US" w:eastAsia="zh-CN"/>
        </w:rPr>
      </w:pPr>
      <w:r>
        <w:rPr>
          <w:rFonts w:hint="eastAsia" w:ascii="宋体" w:hAnsi="宋体" w:eastAsia="宋体" w:cs="Calibri"/>
          <w:b/>
          <w:bCs/>
          <w:color w:val="000000"/>
          <w:szCs w:val="21"/>
          <w:lang w:val="en-US" w:eastAsia="zh-CN"/>
        </w:rPr>
        <w:t>标段三：传染病联网前置机（预算5万元）</w:t>
      </w:r>
    </w:p>
    <w:p w14:paraId="6CA1F76E">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一、采购清单</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8"/>
        <w:gridCol w:w="3329"/>
        <w:gridCol w:w="963"/>
        <w:gridCol w:w="994"/>
        <w:gridCol w:w="2414"/>
      </w:tblGrid>
      <w:tr w14:paraId="6BFB4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tcPr>
          <w:p w14:paraId="3AA29433">
            <w:pPr>
              <w:widowControl/>
              <w:spacing w:line="35" w:lineRule="atLeast"/>
              <w:jc w:val="center"/>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序号</w:t>
            </w:r>
          </w:p>
        </w:tc>
        <w:tc>
          <w:tcPr>
            <w:tcW w:w="3329" w:type="dxa"/>
          </w:tcPr>
          <w:p w14:paraId="2BDCBB7A">
            <w:pPr>
              <w:widowControl/>
              <w:spacing w:line="35" w:lineRule="atLeast"/>
              <w:jc w:val="center"/>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采购项</w:t>
            </w:r>
          </w:p>
        </w:tc>
        <w:tc>
          <w:tcPr>
            <w:tcW w:w="963" w:type="dxa"/>
          </w:tcPr>
          <w:p w14:paraId="5D019837">
            <w:pPr>
              <w:widowControl/>
              <w:spacing w:line="35" w:lineRule="atLeast"/>
              <w:jc w:val="center"/>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数量</w:t>
            </w:r>
          </w:p>
        </w:tc>
        <w:tc>
          <w:tcPr>
            <w:tcW w:w="994" w:type="dxa"/>
          </w:tcPr>
          <w:p w14:paraId="4FBAD5B7">
            <w:pPr>
              <w:widowControl/>
              <w:spacing w:line="35" w:lineRule="atLeast"/>
              <w:jc w:val="center"/>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单位</w:t>
            </w:r>
          </w:p>
        </w:tc>
        <w:tc>
          <w:tcPr>
            <w:tcW w:w="2414" w:type="dxa"/>
          </w:tcPr>
          <w:p w14:paraId="2E1F8DF7">
            <w:pPr>
              <w:widowControl/>
              <w:spacing w:line="35" w:lineRule="atLeast"/>
              <w:jc w:val="center"/>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备注</w:t>
            </w:r>
          </w:p>
        </w:tc>
      </w:tr>
      <w:tr w14:paraId="45991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tcPr>
          <w:p w14:paraId="2FBCE01A">
            <w:pPr>
              <w:widowControl/>
              <w:spacing w:line="35" w:lineRule="atLeas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w:t>
            </w:r>
          </w:p>
        </w:tc>
        <w:tc>
          <w:tcPr>
            <w:tcW w:w="3329" w:type="dxa"/>
          </w:tcPr>
          <w:p w14:paraId="4C0A6A60">
            <w:pPr>
              <w:widowControl/>
              <w:spacing w:line="35" w:lineRule="atLeas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信创服务器</w:t>
            </w:r>
          </w:p>
        </w:tc>
        <w:tc>
          <w:tcPr>
            <w:tcW w:w="963" w:type="dxa"/>
          </w:tcPr>
          <w:p w14:paraId="2AE804DD">
            <w:pPr>
              <w:widowControl/>
              <w:spacing w:line="35" w:lineRule="atLeas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w:t>
            </w:r>
          </w:p>
        </w:tc>
        <w:tc>
          <w:tcPr>
            <w:tcW w:w="994" w:type="dxa"/>
          </w:tcPr>
          <w:p w14:paraId="22B9C084">
            <w:pPr>
              <w:widowControl/>
              <w:spacing w:line="35" w:lineRule="atLeas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台</w:t>
            </w:r>
          </w:p>
        </w:tc>
        <w:tc>
          <w:tcPr>
            <w:tcW w:w="2414" w:type="dxa"/>
          </w:tcPr>
          <w:p w14:paraId="012FD3A8">
            <w:pPr>
              <w:widowControl/>
              <w:spacing w:line="35" w:lineRule="atLeas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质保三年</w:t>
            </w:r>
          </w:p>
        </w:tc>
      </w:tr>
    </w:tbl>
    <w:p w14:paraId="06CCE558">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二、技术参数</w:t>
      </w:r>
    </w:p>
    <w:tbl>
      <w:tblPr>
        <w:tblStyle w:val="4"/>
        <w:tblW w:w="85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8"/>
        <w:gridCol w:w="1286"/>
        <w:gridCol w:w="6271"/>
      </w:tblGrid>
      <w:tr w14:paraId="1AFF2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8" w:type="dxa"/>
          </w:tcPr>
          <w:p w14:paraId="4ECB1FBC">
            <w:pPr>
              <w:widowControl/>
              <w:spacing w:line="35" w:lineRule="atLeast"/>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序号</w:t>
            </w:r>
          </w:p>
        </w:tc>
        <w:tc>
          <w:tcPr>
            <w:tcW w:w="1286" w:type="dxa"/>
            <w:vAlign w:val="center"/>
          </w:tcPr>
          <w:p w14:paraId="3650F1DE">
            <w:pPr>
              <w:widowControl/>
              <w:spacing w:line="35" w:lineRule="atLeast"/>
              <w:jc w:val="center"/>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采购项</w:t>
            </w:r>
          </w:p>
        </w:tc>
        <w:tc>
          <w:tcPr>
            <w:tcW w:w="6271" w:type="dxa"/>
          </w:tcPr>
          <w:p w14:paraId="5B6E3572">
            <w:pPr>
              <w:widowControl/>
              <w:spacing w:line="35" w:lineRule="atLeast"/>
              <w:jc w:val="center"/>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招标要求</w:t>
            </w:r>
          </w:p>
        </w:tc>
      </w:tr>
      <w:tr w14:paraId="66F88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8" w:type="dxa"/>
            <w:vAlign w:val="center"/>
          </w:tcPr>
          <w:p w14:paraId="48D85C09">
            <w:pPr>
              <w:widowControl/>
              <w:spacing w:line="35" w:lineRule="atLeas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w:t>
            </w:r>
          </w:p>
        </w:tc>
        <w:tc>
          <w:tcPr>
            <w:tcW w:w="1286" w:type="dxa"/>
            <w:vAlign w:val="center"/>
          </w:tcPr>
          <w:p w14:paraId="59340EED">
            <w:pPr>
              <w:widowControl/>
              <w:spacing w:line="35" w:lineRule="atLeast"/>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信创服务器</w:t>
            </w:r>
          </w:p>
        </w:tc>
        <w:tc>
          <w:tcPr>
            <w:tcW w:w="6271" w:type="dxa"/>
          </w:tcPr>
          <w:p w14:paraId="617C6FB9">
            <w:pPr>
              <w:widowControl/>
              <w:spacing w:line="35" w:lineRule="atLeast"/>
              <w:jc w:val="center"/>
              <w:rPr>
                <w:rFonts w:hint="eastAsia" w:asciiTheme="minorEastAsia" w:hAnsiTheme="minorEastAsia" w:eastAsiaTheme="minorEastAsia" w:cstheme="minorEastAsia"/>
                <w:kern w:val="0"/>
                <w:sz w:val="21"/>
                <w:szCs w:val="21"/>
              </w:rPr>
            </w:pPr>
            <w:bookmarkStart w:id="1" w:name="OLE_LINK6"/>
            <w:r>
              <w:rPr>
                <w:rFonts w:hint="eastAsia" w:asciiTheme="minorEastAsia" w:hAnsiTheme="minorEastAsia" w:eastAsiaTheme="minorEastAsia" w:cstheme="minorEastAsia"/>
                <w:kern w:val="0"/>
                <w:sz w:val="21"/>
                <w:szCs w:val="21"/>
              </w:rPr>
              <w:t xml:space="preserve"> （一）CPU：采用国产自研CPU，物理核数≥64核；（二）内存：≥256GB；（三）存储空间：≥1T，存储介质类型：SSD；（四）配置双网卡；（五）AI支持：支持扩展NPU卡或GPU卡；（六）操作系统：使用麒麟、欧</w:t>
            </w:r>
            <w:bookmarkStart w:id="2" w:name="OLE_LINK2"/>
            <w:bookmarkStart w:id="3" w:name="OLE_LINK3"/>
            <w:r>
              <w:rPr>
                <w:rFonts w:hint="eastAsia" w:asciiTheme="minorEastAsia" w:hAnsiTheme="minorEastAsia" w:eastAsiaTheme="minorEastAsia" w:cstheme="minorEastAsia"/>
                <w:kern w:val="0"/>
                <w:sz w:val="21"/>
                <w:szCs w:val="21"/>
              </w:rPr>
              <w:t>拉、统信（OpenEuler内核版本）等国产操作系统的服务器版；（七）数</w:t>
            </w:r>
            <w:bookmarkEnd w:id="2"/>
            <w:bookmarkEnd w:id="3"/>
            <w:r>
              <w:rPr>
                <w:rFonts w:hint="eastAsia" w:asciiTheme="minorEastAsia" w:hAnsiTheme="minorEastAsia" w:eastAsiaTheme="minorEastAsia" w:cstheme="minorEastAsia"/>
                <w:kern w:val="0"/>
                <w:sz w:val="21"/>
                <w:szCs w:val="21"/>
              </w:rPr>
              <w:t>据库支持：前置软件已统一配备了OpenGauss（华为），服务器需支持运行此架构数据库。</w:t>
            </w:r>
            <w:bookmarkEnd w:id="1"/>
          </w:p>
          <w:p w14:paraId="3DF70CC5">
            <w:pPr>
              <w:widowControl/>
              <w:spacing w:line="35" w:lineRule="atLeast"/>
              <w:jc w:val="center"/>
              <w:rPr>
                <w:rFonts w:hint="eastAsia" w:asciiTheme="minorEastAsia" w:hAnsiTheme="minorEastAsia" w:eastAsiaTheme="minorEastAsia" w:cstheme="minorEastAsia"/>
                <w:kern w:val="0"/>
                <w:sz w:val="21"/>
                <w:szCs w:val="21"/>
              </w:rPr>
            </w:pPr>
          </w:p>
        </w:tc>
      </w:tr>
    </w:tbl>
    <w:p w14:paraId="0CD99DA5">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三、供应商需提供服务要求：按国家传染病监测预警前置软件考核任务要求完成初始化配置，并配合医院完成前置软件运行所需软硬件环境初始化对应的0S、Database、App、Port等环境配置；</w:t>
      </w:r>
    </w:p>
    <w:p w14:paraId="22E4C9CE">
      <w:pPr>
        <w:spacing w:line="360" w:lineRule="auto"/>
        <w:rPr>
          <w:rFonts w:hint="eastAsia" w:asciiTheme="minorEastAsia" w:hAnsiTheme="minorEastAsia" w:eastAsiaTheme="minorEastAsia" w:cstheme="minorEastAsia"/>
          <w:sz w:val="28"/>
          <w:szCs w:val="28"/>
        </w:rPr>
      </w:pPr>
      <w:bookmarkStart w:id="4" w:name="OLE_LINK10"/>
      <w:bookmarkStart w:id="5" w:name="OLE_LINK11"/>
      <w:r>
        <w:rPr>
          <w:rFonts w:hint="eastAsia" w:asciiTheme="minorEastAsia" w:hAnsiTheme="minorEastAsia" w:eastAsiaTheme="minorEastAsia" w:cstheme="minorEastAsia"/>
          <w:sz w:val="21"/>
          <w:szCs w:val="21"/>
        </w:rPr>
        <w:t>四、售后服务：提供3年硬件维保，前置软件安装、调试服务。</w:t>
      </w:r>
    </w:p>
    <w:bookmarkEnd w:id="4"/>
    <w:bookmarkEnd w:id="5"/>
    <w:p w14:paraId="440CE8FC">
      <w:pPr>
        <w:ind w:firstLine="4176" w:firstLineChars="1300"/>
        <w:rPr>
          <w:b/>
          <w:sz w:val="32"/>
          <w:szCs w:val="32"/>
        </w:rPr>
      </w:pPr>
    </w:p>
    <w:p w14:paraId="1DCACB8B">
      <w:pPr>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NjM2QyMzk5MDUyYjRkY2IzMzIyZWIxYzMzZTBiOTAifQ=="/>
  </w:docVars>
  <w:rsids>
    <w:rsidRoot w:val="000B0106"/>
    <w:rsid w:val="00021337"/>
    <w:rsid w:val="000B0106"/>
    <w:rsid w:val="00117C71"/>
    <w:rsid w:val="002B664F"/>
    <w:rsid w:val="0031349E"/>
    <w:rsid w:val="00351C64"/>
    <w:rsid w:val="005E0E84"/>
    <w:rsid w:val="007B771E"/>
    <w:rsid w:val="00814F7D"/>
    <w:rsid w:val="00B4598D"/>
    <w:rsid w:val="00B639BE"/>
    <w:rsid w:val="00BE5315"/>
    <w:rsid w:val="00BF74E8"/>
    <w:rsid w:val="00D05C69"/>
    <w:rsid w:val="00E4396C"/>
    <w:rsid w:val="00EE61D0"/>
    <w:rsid w:val="00F14F13"/>
    <w:rsid w:val="09E44C22"/>
    <w:rsid w:val="0F251AE4"/>
    <w:rsid w:val="0FAF6FC4"/>
    <w:rsid w:val="1FEF5F6E"/>
    <w:rsid w:val="3DF001AA"/>
    <w:rsid w:val="3F392038"/>
    <w:rsid w:val="4E1669D1"/>
    <w:rsid w:val="53E41BCF"/>
    <w:rsid w:val="548A4B3B"/>
    <w:rsid w:val="55380D13"/>
    <w:rsid w:val="5CE37349"/>
    <w:rsid w:val="60575E2D"/>
    <w:rsid w:val="6B304DC5"/>
    <w:rsid w:val="7E9332F9"/>
    <w:rsid w:val="7E9A78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ind w:firstLine="420"/>
    </w:pPr>
    <w:rPr>
      <w:rFonts w:ascii="Times New Roman" w:hAnsi="Times New Roman" w:eastAsia="宋体" w:cs="Times New Roman"/>
      <w:szCs w:val="20"/>
    </w:rPr>
  </w:style>
  <w:style w:type="table" w:styleId="4">
    <w:name w:val="Table Grid"/>
    <w:basedOn w:val="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Pages>
  <Words>3772</Words>
  <Characters>4059</Characters>
  <Lines>31</Lines>
  <Paragraphs>8</Paragraphs>
  <TotalTime>98</TotalTime>
  <ScaleCrop>false</ScaleCrop>
  <LinksUpToDate>false</LinksUpToDate>
  <CharactersWithSpaces>4068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2022-10-13T08:23:00Z</dcterms:created>
  <dc:creator>丁锐</dc:creator>
  <cp:lastModifiedBy>陈雄伟</cp:lastModifiedBy>
  <dcterms:modified xsi:type="dcterms:W3CDTF">2024-12-05T07:29:54Z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0B36F2D8979C4C3EA1CD79E71A2C5E95_13</vt:lpwstr>
  </property>
</Properties>
</file>